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D1BAE">
      <w:pPr>
        <w:keepNext w:val="0"/>
        <w:keepLines w:val="0"/>
        <w:pageBreakBefore w:val="0"/>
        <w:widowControl w:val="0"/>
        <w:kinsoku/>
        <w:wordWrap/>
        <w:overflowPunct w:val="0"/>
        <w:topLinePunct/>
        <w:autoSpaceDE/>
        <w:autoSpaceDN/>
        <w:bidi w:val="0"/>
        <w:adjustRightInd/>
        <w:snapToGrid/>
        <w:spacing w:line="600" w:lineRule="exact"/>
        <w:jc w:val="center"/>
        <w:textAlignment w:val="auto"/>
        <w:rPr>
          <w:rFonts w:hint="eastAsia" w:ascii="宋体" w:hAnsi="宋体" w:eastAsia="宋体" w:cs="宋体"/>
          <w:b/>
          <w:bCs/>
          <w:sz w:val="44"/>
          <w:szCs w:val="44"/>
        </w:rPr>
      </w:pPr>
    </w:p>
    <w:p w14:paraId="7AC2096B">
      <w:pPr>
        <w:keepNext w:val="0"/>
        <w:keepLines w:val="0"/>
        <w:pageBreakBefore w:val="0"/>
        <w:widowControl w:val="0"/>
        <w:kinsoku/>
        <w:wordWrap/>
        <w:overflowPunct w:val="0"/>
        <w:topLinePunct/>
        <w:autoSpaceDE/>
        <w:autoSpaceDN/>
        <w:bidi w:val="0"/>
        <w:adjustRightInd/>
        <w:snapToGrid/>
        <w:spacing w:line="600" w:lineRule="exact"/>
        <w:jc w:val="center"/>
        <w:textAlignment w:val="auto"/>
        <w:rPr>
          <w:rFonts w:hint="eastAsia" w:ascii="宋体" w:hAnsi="宋体" w:eastAsia="宋体" w:cs="宋体"/>
          <w:b/>
          <w:bCs/>
          <w:sz w:val="44"/>
          <w:szCs w:val="44"/>
        </w:rPr>
      </w:pPr>
      <w:r>
        <w:rPr>
          <w:rFonts w:hint="eastAsia" w:ascii="宋体" w:hAnsi="宋体" w:cs="宋体"/>
          <w:b/>
          <w:bCs/>
          <w:sz w:val="44"/>
          <w:szCs w:val="44"/>
          <w:lang w:val="en-US" w:eastAsia="zh-CN"/>
        </w:rPr>
        <w:t>盐城农商银行</w:t>
      </w:r>
      <w:r>
        <w:rPr>
          <w:rFonts w:hint="eastAsia" w:ascii="宋体" w:hAnsi="宋体" w:eastAsia="宋体" w:cs="宋体"/>
          <w:b/>
          <w:bCs/>
          <w:sz w:val="44"/>
          <w:szCs w:val="44"/>
        </w:rPr>
        <w:t>202</w:t>
      </w:r>
      <w:r>
        <w:rPr>
          <w:rFonts w:hint="eastAsia" w:ascii="宋体" w:hAnsi="宋体" w:cs="宋体"/>
          <w:b/>
          <w:bCs/>
          <w:sz w:val="44"/>
          <w:szCs w:val="44"/>
          <w:lang w:val="en-US" w:eastAsia="zh-CN"/>
        </w:rPr>
        <w:t>5</w:t>
      </w:r>
      <w:r>
        <w:rPr>
          <w:rFonts w:hint="eastAsia" w:ascii="宋体" w:hAnsi="宋体" w:eastAsia="宋体" w:cs="宋体"/>
          <w:b/>
          <w:bCs/>
          <w:sz w:val="44"/>
          <w:szCs w:val="44"/>
        </w:rPr>
        <w:t>年度社会责任报告</w:t>
      </w:r>
    </w:p>
    <w:p w14:paraId="2BF50CFF">
      <w:pPr>
        <w:keepNext w:val="0"/>
        <w:keepLines w:val="0"/>
        <w:pageBreakBefore w:val="0"/>
        <w:widowControl w:val="0"/>
        <w:kinsoku/>
        <w:wordWrap/>
        <w:overflowPunct w:val="0"/>
        <w:topLinePunct/>
        <w:autoSpaceDE/>
        <w:autoSpaceDN/>
        <w:bidi w:val="0"/>
        <w:adjustRightInd/>
        <w:snapToGrid/>
        <w:spacing w:line="600" w:lineRule="exact"/>
        <w:jc w:val="center"/>
        <w:textAlignment w:val="auto"/>
        <w:rPr>
          <w:rFonts w:ascii="楷体_GB2312" w:eastAsia="楷体_GB2312"/>
          <w:sz w:val="44"/>
          <w:szCs w:val="44"/>
        </w:rPr>
      </w:pPr>
    </w:p>
    <w:p w14:paraId="55EFB8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2025年，</w:t>
      </w:r>
      <w:r>
        <w:rPr>
          <w:rFonts w:hint="eastAsia" w:ascii="仿宋_GB2312" w:hAnsi="仿宋_GB2312" w:eastAsia="仿宋_GB2312" w:cs="仿宋_GB2312"/>
          <w:sz w:val="32"/>
          <w:szCs w:val="32"/>
          <w:highlight w:val="none"/>
        </w:rPr>
        <w:t>盐城农商银行</w:t>
      </w:r>
      <w:r>
        <w:rPr>
          <w:rFonts w:hint="eastAsia" w:ascii="仿宋_GB2312" w:hAnsi="仿宋_GB2312" w:eastAsia="仿宋_GB2312" w:cs="仿宋_GB2312"/>
          <w:color w:val="000000"/>
          <w:kern w:val="0"/>
          <w:sz w:val="32"/>
          <w:szCs w:val="32"/>
        </w:rPr>
        <w:t>（以下简称“本行”）</w:t>
      </w:r>
      <w:r>
        <w:rPr>
          <w:rFonts w:hint="eastAsia" w:ascii="仿宋_GB2312" w:hAnsi="仿宋_GB2312" w:eastAsia="仿宋_GB2312" w:cs="仿宋_GB2312"/>
          <w:color w:val="0C0C0C"/>
          <w:spacing w:val="0"/>
          <w:w w:val="100"/>
          <w:kern w:val="0"/>
          <w:sz w:val="32"/>
          <w:szCs w:val="32"/>
          <w:highlight w:val="none"/>
          <w:lang w:eastAsia="zh-CN"/>
        </w:rPr>
        <w:t>坚持以习近平新时代中国特色社会主义思想为指导，深入学习贯彻党的二十大和二十届</w:t>
      </w:r>
      <w:r>
        <w:rPr>
          <w:rFonts w:hint="eastAsia" w:ascii="仿宋_GB2312" w:hAnsi="仿宋_GB2312" w:eastAsia="仿宋_GB2312" w:cs="仿宋_GB2312"/>
          <w:color w:val="0C0C0C"/>
          <w:spacing w:val="0"/>
          <w:w w:val="100"/>
          <w:kern w:val="0"/>
          <w:sz w:val="32"/>
          <w:szCs w:val="32"/>
          <w:highlight w:val="none"/>
          <w:lang w:val="en-US" w:eastAsia="zh-CN"/>
        </w:rPr>
        <w:t>三</w:t>
      </w:r>
      <w:r>
        <w:rPr>
          <w:rFonts w:hint="eastAsia" w:ascii="仿宋_GB2312" w:hAnsi="仿宋_GB2312" w:eastAsia="仿宋_GB2312" w:cs="仿宋_GB2312"/>
          <w:color w:val="0C0C0C"/>
          <w:spacing w:val="0"/>
          <w:w w:val="100"/>
          <w:kern w:val="0"/>
          <w:sz w:val="32"/>
          <w:szCs w:val="32"/>
          <w:highlight w:val="none"/>
          <w:lang w:eastAsia="zh-CN"/>
        </w:rPr>
        <w:t>中、</w:t>
      </w:r>
      <w:r>
        <w:rPr>
          <w:rFonts w:hint="eastAsia" w:ascii="仿宋_GB2312" w:hAnsi="仿宋_GB2312" w:eastAsia="仿宋_GB2312" w:cs="仿宋_GB2312"/>
          <w:color w:val="0C0C0C"/>
          <w:spacing w:val="0"/>
          <w:w w:val="100"/>
          <w:kern w:val="0"/>
          <w:sz w:val="32"/>
          <w:szCs w:val="32"/>
          <w:highlight w:val="none"/>
          <w:lang w:val="en-US" w:eastAsia="zh-CN"/>
        </w:rPr>
        <w:t>四</w:t>
      </w:r>
      <w:r>
        <w:rPr>
          <w:rFonts w:hint="eastAsia" w:ascii="仿宋_GB2312" w:hAnsi="仿宋_GB2312" w:eastAsia="仿宋_GB2312" w:cs="仿宋_GB2312"/>
          <w:color w:val="0C0C0C"/>
          <w:spacing w:val="0"/>
          <w:w w:val="100"/>
          <w:kern w:val="0"/>
          <w:sz w:val="32"/>
          <w:szCs w:val="32"/>
          <w:highlight w:val="none"/>
          <w:lang w:eastAsia="zh-CN"/>
        </w:rPr>
        <w:t>中全会精神</w:t>
      </w:r>
      <w:r>
        <w:rPr>
          <w:rFonts w:hint="eastAsia" w:ascii="仿宋_GB2312" w:hAnsi="仿宋_GB2312" w:eastAsia="仿宋_GB2312" w:cs="仿宋_GB2312"/>
          <w:color w:val="0C0C0C"/>
          <w:spacing w:val="0"/>
          <w:w w:val="100"/>
          <w:kern w:val="0"/>
          <w:sz w:val="32"/>
          <w:szCs w:val="32"/>
          <w:highlight w:val="none"/>
          <w:lang w:val="en-US" w:eastAsia="zh-CN" w:bidi="ar-SA"/>
        </w:rPr>
        <w:t>，认真</w:t>
      </w:r>
      <w:r>
        <w:rPr>
          <w:rFonts w:hint="eastAsia" w:ascii="仿宋_GB2312" w:hAnsi="仿宋_GB2312" w:eastAsia="仿宋_GB2312" w:cs="仿宋_GB2312"/>
          <w:color w:val="0C0C0C"/>
          <w:spacing w:val="0"/>
          <w:w w:val="100"/>
          <w:kern w:val="0"/>
          <w:sz w:val="32"/>
          <w:szCs w:val="32"/>
          <w:highlight w:val="none"/>
          <w:lang w:eastAsia="zh-CN"/>
        </w:rPr>
        <w:t>落实市委、市政府</w:t>
      </w:r>
      <w:r>
        <w:rPr>
          <w:rFonts w:hint="eastAsia" w:ascii="仿宋_GB2312" w:hAnsi="仿宋_GB2312" w:eastAsia="仿宋_GB2312" w:cs="仿宋_GB2312"/>
          <w:color w:val="0C0C0C"/>
          <w:spacing w:val="0"/>
          <w:w w:val="100"/>
          <w:kern w:val="0"/>
          <w:sz w:val="32"/>
          <w:szCs w:val="32"/>
          <w:highlight w:val="none"/>
          <w:lang w:val="en-US" w:eastAsia="zh-CN"/>
        </w:rPr>
        <w:t>和联合银行</w:t>
      </w:r>
      <w:r>
        <w:rPr>
          <w:rFonts w:hint="eastAsia" w:ascii="仿宋_GB2312" w:hAnsi="仿宋_GB2312" w:eastAsia="仿宋_GB2312" w:cs="仿宋_GB2312"/>
          <w:color w:val="0C0C0C"/>
          <w:spacing w:val="0"/>
          <w:w w:val="100"/>
          <w:kern w:val="0"/>
          <w:sz w:val="32"/>
          <w:szCs w:val="32"/>
          <w:highlight w:val="none"/>
          <w:lang w:eastAsia="zh-CN"/>
        </w:rPr>
        <w:t>决策部署，</w:t>
      </w:r>
      <w:r>
        <w:rPr>
          <w:rFonts w:hint="eastAsia" w:ascii="仿宋_GB2312" w:hAnsi="仿宋_GB2312" w:eastAsia="仿宋_GB2312" w:cs="仿宋_GB2312"/>
          <w:sz w:val="32"/>
          <w:szCs w:val="32"/>
          <w:highlight w:val="none"/>
        </w:rPr>
        <w:t>助力盐城高质量建设绿色低碳发展示范区，</w:t>
      </w:r>
      <w:r>
        <w:rPr>
          <w:rFonts w:hint="eastAsia" w:ascii="仿宋_GB2312" w:hAnsi="仿宋_GB2312" w:eastAsia="仿宋_GB2312" w:cs="仿宋_GB2312"/>
          <w:sz w:val="32"/>
          <w:szCs w:val="32"/>
          <w:highlight w:val="none"/>
          <w:lang w:val="en-US" w:eastAsia="zh-CN"/>
        </w:rPr>
        <w:t>奋力</w:t>
      </w:r>
      <w:r>
        <w:rPr>
          <w:rFonts w:hint="eastAsia" w:ascii="仿宋_GB2312" w:hAnsi="仿宋_GB2312" w:eastAsia="仿宋_GB2312" w:cs="仿宋_GB2312"/>
          <w:sz w:val="32"/>
          <w:szCs w:val="32"/>
          <w:highlight w:val="none"/>
        </w:rPr>
        <w:t>谱写“强富美高”新盐城现代化建设新篇章</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000000"/>
          <w:kern w:val="0"/>
          <w:sz w:val="32"/>
          <w:szCs w:val="32"/>
        </w:rPr>
        <w:t>现将</w:t>
      </w:r>
      <w:r>
        <w:rPr>
          <w:rFonts w:hint="eastAsia" w:ascii="仿宋_GB2312" w:hAnsi="仿宋_GB2312" w:eastAsia="仿宋_GB2312" w:cs="仿宋_GB2312"/>
          <w:color w:val="000000"/>
          <w:kern w:val="0"/>
          <w:sz w:val="32"/>
          <w:szCs w:val="32"/>
          <w:lang w:val="en-US" w:eastAsia="zh-CN"/>
        </w:rPr>
        <w:t>本</w:t>
      </w:r>
      <w:r>
        <w:rPr>
          <w:rFonts w:hint="eastAsia" w:ascii="仿宋_GB2312" w:hAnsi="仿宋_GB2312" w:eastAsia="仿宋_GB2312" w:cs="仿宋_GB2312"/>
          <w:color w:val="000000"/>
          <w:kern w:val="0"/>
          <w:sz w:val="32"/>
          <w:szCs w:val="32"/>
        </w:rPr>
        <w:t>行202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年度在经济、社会、环境</w:t>
      </w:r>
      <w:r>
        <w:rPr>
          <w:rFonts w:hint="eastAsia" w:ascii="仿宋_GB2312" w:hAnsi="仿宋_GB2312" w:eastAsia="仿宋_GB2312" w:cs="仿宋_GB2312"/>
          <w:color w:val="000000"/>
          <w:kern w:val="0"/>
          <w:sz w:val="32"/>
          <w:szCs w:val="32"/>
          <w:lang w:val="en-US" w:eastAsia="zh-CN"/>
        </w:rPr>
        <w:t>等</w:t>
      </w:r>
      <w:r>
        <w:rPr>
          <w:rFonts w:hint="eastAsia" w:ascii="仿宋_GB2312" w:hAnsi="仿宋_GB2312" w:eastAsia="仿宋_GB2312" w:cs="仿宋_GB2312"/>
          <w:color w:val="000000"/>
          <w:kern w:val="0"/>
          <w:sz w:val="32"/>
          <w:szCs w:val="32"/>
        </w:rPr>
        <w:t>方面所做的努力和取得的</w:t>
      </w:r>
      <w:r>
        <w:rPr>
          <w:rFonts w:hint="eastAsia" w:ascii="仿宋_GB2312" w:hAnsi="仿宋_GB2312" w:eastAsia="仿宋_GB2312" w:cs="仿宋_GB2312"/>
          <w:color w:val="000000"/>
          <w:kern w:val="0"/>
          <w:sz w:val="32"/>
          <w:szCs w:val="32"/>
          <w:lang w:val="en-US" w:eastAsia="zh-CN"/>
        </w:rPr>
        <w:t>成绩</w:t>
      </w:r>
      <w:r>
        <w:rPr>
          <w:rFonts w:hint="eastAsia" w:ascii="仿宋_GB2312" w:hAnsi="仿宋_GB2312" w:eastAsia="仿宋_GB2312" w:cs="仿宋_GB2312"/>
          <w:color w:val="000000"/>
          <w:kern w:val="0"/>
          <w:sz w:val="32"/>
          <w:szCs w:val="32"/>
        </w:rPr>
        <w:t>，以及在提供金融服务基础上对社会责任的承担和可持续发展理念的实践情况报告如下</w:t>
      </w:r>
      <w:r>
        <w:rPr>
          <w:rFonts w:hint="eastAsia" w:ascii="仿宋_GB2312" w:hAnsi="仿宋_GB2312" w:eastAsia="仿宋_GB2312" w:cs="仿宋_GB2312"/>
          <w:color w:val="000000"/>
          <w:kern w:val="0"/>
          <w:sz w:val="32"/>
          <w:szCs w:val="32"/>
          <w:lang w:eastAsia="zh-CN"/>
        </w:rPr>
        <w:t>。</w:t>
      </w:r>
    </w:p>
    <w:p w14:paraId="2DE32961">
      <w:pPr>
        <w:pStyle w:val="16"/>
        <w:keepNext w:val="0"/>
        <w:keepLines w:val="0"/>
        <w:pageBreakBefore w:val="0"/>
        <w:numPr>
          <w:ilvl w:val="0"/>
          <w:numId w:val="0"/>
        </w:numPr>
        <w:kinsoku/>
        <w:wordWrap/>
        <w:overflowPunct/>
        <w:topLinePunct w:val="0"/>
        <w:autoSpaceDE/>
        <w:autoSpaceDN/>
        <w:bidi w:val="0"/>
        <w:snapToGrid/>
        <w:spacing w:before="0" w:beforeAutospacing="0" w:after="0" w:afterAutospacing="0"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一、基本情况</w:t>
      </w:r>
    </w:p>
    <w:p w14:paraId="787129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highlight w:val="none"/>
          <w:lang w:val="en-US" w:eastAsia="zh-CN"/>
        </w:rPr>
      </w:pPr>
      <w:r>
        <w:rPr>
          <w:rFonts w:hint="eastAsia" w:ascii="仿宋_GB2312" w:hAnsi="仿宋_GB2312" w:eastAsia="仿宋_GB2312" w:cs="仿宋_GB2312"/>
          <w:sz w:val="32"/>
          <w:szCs w:val="32"/>
        </w:rPr>
        <w:t>盐城农商银行</w:t>
      </w:r>
      <w:r>
        <w:rPr>
          <w:rFonts w:hint="eastAsia" w:ascii="仿宋_GB2312" w:hAnsi="仿宋_GB2312" w:eastAsia="仿宋_GB2312" w:cs="仿宋_GB2312"/>
          <w:sz w:val="32"/>
          <w:szCs w:val="32"/>
          <w:highlight w:val="none"/>
        </w:rPr>
        <w:t>前身为盐城市区信用联社，2010年5月26日，开业成立黄海农商银行；2015年3月16日，更名为盐城农商银行；2011年对盐城响水农商银行和滨海农商银行实施战略投资；2012年在江西省萍乡市湘东区发起设立黄海村镇银行；2018年投资徐州新沂农商银行；2019年入股</w:t>
      </w:r>
      <w:r>
        <w:rPr>
          <w:rFonts w:hint="eastAsia" w:ascii="仿宋_GB2312" w:hAnsi="仿宋_GB2312" w:eastAsia="仿宋_GB2312" w:cs="仿宋_GB2312"/>
          <w:sz w:val="32"/>
          <w:szCs w:val="32"/>
          <w:highlight w:val="none"/>
          <w:lang w:val="en-US" w:eastAsia="zh-CN"/>
        </w:rPr>
        <w:t>盐城</w:t>
      </w:r>
      <w:r>
        <w:rPr>
          <w:rFonts w:hint="eastAsia" w:ascii="仿宋_GB2312" w:hAnsi="仿宋_GB2312" w:eastAsia="仿宋_GB2312" w:cs="仿宋_GB2312"/>
          <w:sz w:val="32"/>
          <w:szCs w:val="32"/>
          <w:highlight w:val="none"/>
        </w:rPr>
        <w:t>阜宁农商银行；202</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年对</w:t>
      </w:r>
      <w:r>
        <w:rPr>
          <w:rFonts w:hint="eastAsia" w:ascii="仿宋_GB2312" w:eastAsia="仿宋_GB2312" w:cs="仿宋_GB2312"/>
          <w:bCs/>
          <w:kern w:val="0"/>
          <w:sz w:val="32"/>
          <w:szCs w:val="32"/>
          <w:highlight w:val="none"/>
        </w:rPr>
        <w:t>连云港东方农商银行实施战略投资，</w:t>
      </w:r>
      <w:r>
        <w:rPr>
          <w:rFonts w:hint="eastAsia" w:ascii="仿宋_GB2312" w:eastAsia="仿宋_GB2312" w:cs="仿宋_GB2312"/>
          <w:bCs/>
          <w:kern w:val="0"/>
          <w:sz w:val="32"/>
          <w:szCs w:val="32"/>
          <w:highlight w:val="none"/>
          <w:lang w:eastAsia="zh-CN"/>
        </w:rPr>
        <w:t>截</w:t>
      </w:r>
      <w:r>
        <w:rPr>
          <w:rFonts w:hint="eastAsia" w:ascii="仿宋_GB2312" w:eastAsia="仿宋_GB2312" w:cs="仿宋_GB2312"/>
          <w:bCs/>
          <w:kern w:val="0"/>
          <w:sz w:val="32"/>
          <w:szCs w:val="32"/>
          <w:highlight w:val="none"/>
        </w:rPr>
        <w:t>至</w:t>
      </w:r>
      <w:r>
        <w:rPr>
          <w:rFonts w:hint="eastAsia" w:ascii="仿宋_GB2312" w:eastAsia="仿宋_GB2312" w:cs="仿宋_GB2312"/>
          <w:bCs/>
          <w:kern w:val="0"/>
          <w:sz w:val="32"/>
          <w:szCs w:val="32"/>
          <w:highlight w:val="none"/>
          <w:lang w:val="en-US" w:eastAsia="zh-CN"/>
        </w:rPr>
        <w:t>2025年末</w:t>
      </w:r>
      <w:r>
        <w:rPr>
          <w:rFonts w:hint="eastAsia" w:ascii="仿宋_GB2312" w:eastAsia="仿宋_GB2312" w:cs="仿宋_GB2312"/>
          <w:bCs/>
          <w:kern w:val="0"/>
          <w:sz w:val="32"/>
          <w:szCs w:val="32"/>
          <w:highlight w:val="none"/>
        </w:rPr>
        <w:t>持股比例分别为：15.38%、11.26%、20%、8.92%、9.99%。</w:t>
      </w:r>
      <w:r>
        <w:rPr>
          <w:rFonts w:hint="eastAsia" w:ascii="仿宋_GB2312" w:hAnsi="仿宋_GB2312" w:eastAsia="仿宋_GB2312" w:cs="仿宋_GB2312"/>
          <w:sz w:val="32"/>
          <w:szCs w:val="32"/>
          <w:highlight w:val="none"/>
        </w:rPr>
        <w:t>目前有</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个一级</w:t>
      </w:r>
      <w:r>
        <w:rPr>
          <w:rFonts w:hint="eastAsia" w:ascii="仿宋_GB2312" w:hAnsi="仿宋_GB2312" w:eastAsia="仿宋_GB2312" w:cs="仿宋_GB2312"/>
          <w:sz w:val="32"/>
          <w:szCs w:val="32"/>
          <w:highlight w:val="none"/>
          <w:lang w:val="en-US" w:eastAsia="zh-CN"/>
        </w:rPr>
        <w:t>机构</w:t>
      </w:r>
      <w:r>
        <w:rPr>
          <w:rFonts w:hint="eastAsia" w:ascii="仿宋_GB2312" w:hAnsi="仿宋_GB2312" w:eastAsia="仿宋_GB2312" w:cs="仿宋_GB2312"/>
          <w:sz w:val="32"/>
          <w:szCs w:val="32"/>
          <w:highlight w:val="none"/>
        </w:rPr>
        <w:t>、62个营业网点和</w:t>
      </w:r>
      <w:r>
        <w:rPr>
          <w:rFonts w:hint="eastAsia" w:ascii="仿宋_GB2312" w:hAnsi="仿宋_GB2312" w:eastAsia="仿宋_GB2312" w:cs="仿宋_GB2312"/>
          <w:sz w:val="32"/>
          <w:szCs w:val="32"/>
          <w:highlight w:val="none"/>
          <w:lang w:val="en-US" w:eastAsia="zh-CN"/>
        </w:rPr>
        <w:t>162</w:t>
      </w:r>
      <w:r>
        <w:rPr>
          <w:rFonts w:hint="eastAsia" w:ascii="仿宋_GB2312" w:hAnsi="仿宋_GB2312" w:eastAsia="仿宋_GB2312" w:cs="仿宋_GB2312"/>
          <w:sz w:val="32"/>
          <w:szCs w:val="32"/>
          <w:highlight w:val="none"/>
        </w:rPr>
        <w:t>个普惠金融服务点，</w:t>
      </w:r>
      <w:r>
        <w:rPr>
          <w:rFonts w:hint="eastAsia" w:ascii="仿宋_GB2312" w:hAnsi="仿宋_GB2312" w:eastAsia="仿宋_GB2312" w:cs="仿宋_GB2312"/>
          <w:sz w:val="32"/>
          <w:szCs w:val="32"/>
          <w:highlight w:val="none"/>
          <w:lang w:val="en-US" w:eastAsia="zh-CN"/>
        </w:rPr>
        <w:t>机关</w:t>
      </w:r>
      <w:r>
        <w:rPr>
          <w:rFonts w:hint="eastAsia" w:ascii="仿宋_GB2312" w:hAnsi="仿宋_GB2312" w:eastAsia="仿宋_GB2312" w:cs="仿宋_GB2312"/>
          <w:sz w:val="32"/>
          <w:szCs w:val="32"/>
          <w:highlight w:val="none"/>
        </w:rPr>
        <w:t>内设</w:t>
      </w:r>
      <w:r>
        <w:rPr>
          <w:rFonts w:hint="eastAsia" w:ascii="仿宋_GB2312" w:hAnsi="仿宋_GB2312" w:eastAsia="仿宋_GB2312" w:cs="仿宋_GB2312"/>
          <w:sz w:val="32"/>
          <w:szCs w:val="32"/>
          <w:highlight w:val="none"/>
          <w:lang w:val="en-US" w:eastAsia="zh-CN"/>
        </w:rPr>
        <w:t>17</w:t>
      </w:r>
      <w:r>
        <w:rPr>
          <w:rFonts w:hint="eastAsia" w:ascii="仿宋_GB2312" w:hAnsi="仿宋_GB2312" w:eastAsia="仿宋_GB2312" w:cs="仿宋_GB2312"/>
          <w:sz w:val="32"/>
          <w:szCs w:val="32"/>
          <w:highlight w:val="none"/>
        </w:rPr>
        <w:t>个管理部门，网点遍布盐城主城区，并在东台城乡设有7个网点，员工</w:t>
      </w:r>
      <w:r>
        <w:rPr>
          <w:rFonts w:hint="eastAsia" w:ascii="仿宋_GB2312" w:hAnsi="仿宋_GB2312" w:eastAsia="仿宋_GB2312" w:cs="仿宋_GB2312"/>
          <w:sz w:val="32"/>
          <w:szCs w:val="32"/>
          <w:highlight w:val="none"/>
          <w:lang w:val="en-US" w:eastAsia="zh-CN"/>
        </w:rPr>
        <w:t>总数840</w:t>
      </w:r>
      <w:r>
        <w:rPr>
          <w:rFonts w:hint="eastAsia" w:ascii="仿宋_GB2312" w:hAnsi="仿宋_GB2312" w:eastAsia="仿宋_GB2312" w:cs="仿宋_GB2312"/>
          <w:sz w:val="32"/>
          <w:szCs w:val="32"/>
          <w:highlight w:val="none"/>
        </w:rPr>
        <w:t>人，注册资本1</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50</w:t>
      </w:r>
      <w:r>
        <w:rPr>
          <w:rFonts w:hint="eastAsia" w:ascii="仿宋_GB2312" w:hAnsi="仿宋_GB2312" w:eastAsia="仿宋_GB2312" w:cs="仿宋_GB2312"/>
          <w:sz w:val="32"/>
          <w:szCs w:val="32"/>
          <w:highlight w:val="none"/>
        </w:rPr>
        <w:t>亿元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服务大市区客群超120万人</w:t>
      </w:r>
      <w:r>
        <w:rPr>
          <w:rFonts w:hint="eastAsia" w:ascii="仿宋_GB2312" w:hAnsi="仿宋_GB2312" w:eastAsia="仿宋_GB2312" w:cs="仿宋_GB2312"/>
          <w:sz w:val="32"/>
          <w:szCs w:val="32"/>
          <w:highlight w:val="none"/>
        </w:rPr>
        <w:t>，年纳税近1.</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亿元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全力支持地方经济高质量发展</w:t>
      </w:r>
      <w:r>
        <w:rPr>
          <w:rFonts w:hint="eastAsia" w:ascii="仿宋_GB2312" w:hAnsi="仿宋_GB2312" w:eastAsia="仿宋_GB2312" w:cs="仿宋_GB2312"/>
          <w:sz w:val="32"/>
          <w:szCs w:val="32"/>
          <w:highlight w:val="none"/>
        </w:rPr>
        <w:t>。截至202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年末，各项存款</w:t>
      </w:r>
      <w:r>
        <w:rPr>
          <w:rFonts w:hint="eastAsia" w:ascii="仿宋_GB2312" w:hAnsi="仿宋_GB2312" w:eastAsia="仿宋_GB2312" w:cs="仿宋_GB2312"/>
          <w:sz w:val="32"/>
          <w:szCs w:val="32"/>
          <w:highlight w:val="none"/>
          <w:lang w:val="en-US" w:eastAsia="zh-CN"/>
        </w:rPr>
        <w:t>余额</w:t>
      </w:r>
      <w:r>
        <w:rPr>
          <w:rFonts w:hint="eastAsia" w:ascii="仿宋_GB2312" w:hAnsi="仿宋_GB2312" w:eastAsia="仿宋_GB2312" w:cs="仿宋_GB2312"/>
          <w:i w:val="0"/>
          <w:iCs w:val="0"/>
          <w:caps w:val="0"/>
          <w:spacing w:val="0"/>
          <w:kern w:val="0"/>
          <w:sz w:val="32"/>
          <w:szCs w:val="32"/>
          <w:highlight w:val="none"/>
          <w:shd w:val="clear" w:fill="FFFFFF"/>
          <w:lang w:val="en-US" w:eastAsia="zh-CN" w:bidi="ar"/>
        </w:rPr>
        <w:t>498.79</w:t>
      </w:r>
      <w:r>
        <w:rPr>
          <w:rFonts w:hint="eastAsia" w:ascii="仿宋_GB2312" w:hAnsi="仿宋_GB2312" w:eastAsia="仿宋_GB2312" w:cs="仿宋_GB2312"/>
          <w:sz w:val="32"/>
          <w:szCs w:val="32"/>
          <w:highlight w:val="none"/>
        </w:rPr>
        <w:t>亿元、各项</w:t>
      </w:r>
      <w:r>
        <w:rPr>
          <w:rFonts w:hint="eastAsia" w:ascii="仿宋_GB2312" w:hAnsi="仿宋_GB2312" w:eastAsia="仿宋_GB2312" w:cs="仿宋_GB2312"/>
          <w:sz w:val="32"/>
          <w:szCs w:val="32"/>
          <w:highlight w:val="none"/>
          <w:lang w:val="en-US" w:eastAsia="zh-CN"/>
        </w:rPr>
        <w:t>贷款余额438.77亿元、资产总额639.77亿元。</w:t>
      </w:r>
    </w:p>
    <w:p w14:paraId="7E642EFB">
      <w:pPr>
        <w:pStyle w:val="16"/>
        <w:keepNext w:val="0"/>
        <w:keepLines w:val="0"/>
        <w:pageBreakBefore w:val="0"/>
        <w:numPr>
          <w:ilvl w:val="0"/>
          <w:numId w:val="0"/>
        </w:numPr>
        <w:kinsoku/>
        <w:wordWrap/>
        <w:overflowPunct/>
        <w:topLinePunct w:val="0"/>
        <w:autoSpaceDE/>
        <w:autoSpaceDN/>
        <w:bidi w:val="0"/>
        <w:snapToGrid/>
        <w:spacing w:before="0" w:beforeAutospacing="0" w:after="0" w:afterAutospacing="0" w:line="560" w:lineRule="exact"/>
        <w:ind w:firstLine="640" w:firstLineChars="200"/>
        <w:jc w:val="both"/>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val="en-US" w:eastAsia="zh-CN"/>
        </w:rPr>
        <w:t>二、争先创优</w:t>
      </w:r>
    </w:p>
    <w:p w14:paraId="0864CD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2025年，本行积极参与各类竞赛和活动，全年获得上级单位各类荣誉表彰30余项。我行被</w:t>
      </w:r>
      <w:r>
        <w:rPr>
          <w:rFonts w:hint="default" w:ascii="仿宋_GB2312" w:hAnsi="仿宋_GB2312" w:eastAsia="仿宋_GB2312" w:cs="仿宋_GB2312"/>
          <w:sz w:val="32"/>
          <w:szCs w:val="32"/>
          <w:highlight w:val="none"/>
          <w:lang w:val="en-US" w:eastAsia="zh-CN"/>
        </w:rPr>
        <w:t>盐城市残疾人联合会</w:t>
      </w:r>
      <w:r>
        <w:rPr>
          <w:rFonts w:hint="eastAsia" w:ascii="仿宋_GB2312" w:hAnsi="仿宋_GB2312" w:eastAsia="仿宋_GB2312" w:cs="仿宋_GB2312"/>
          <w:sz w:val="32"/>
          <w:szCs w:val="32"/>
          <w:highlight w:val="none"/>
          <w:lang w:val="en-US" w:eastAsia="zh-CN"/>
        </w:rPr>
        <w:t>授予“爱心企业”称号；获得2025年度中国金融传媒“宣传四力建设优秀工作品牌”；被市金融业联合会评为2025年度宣传文化工作考核“优秀单位”；以打击防范非法中介为主题，拍摄</w:t>
      </w:r>
      <w:r>
        <w:rPr>
          <w:rFonts w:hint="eastAsia" w:ascii="仿宋_GB2312" w:hAnsi="仿宋_GB2312" w:eastAsia="仿宋_GB2312" w:cs="仿宋_GB2312"/>
          <w:sz w:val="32"/>
          <w:szCs w:val="32"/>
          <w:highlight w:val="none"/>
          <w:lang w:eastAsia="zh-CN"/>
        </w:rPr>
        <w:t>微电影</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“贷”价</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荣获“</w:t>
      </w:r>
      <w:r>
        <w:rPr>
          <w:rFonts w:hint="eastAsia" w:ascii="仿宋_GB2312" w:hAnsi="仿宋_GB2312" w:eastAsia="仿宋_GB2312" w:cs="仿宋_GB2312"/>
          <w:sz w:val="32"/>
          <w:szCs w:val="32"/>
          <w:highlight w:val="none"/>
          <w:lang w:eastAsia="zh-CN"/>
        </w:rPr>
        <w:t>江苏省优秀金融教育案例三等奖”，被市金融业联合会评为“防范非法金融活动短视频征集大赛一等奖”；</w:t>
      </w:r>
      <w:r>
        <w:rPr>
          <w:rFonts w:hint="eastAsia" w:ascii="仿宋_GB2312" w:hAnsi="仿宋_GB2312" w:eastAsia="仿宋_GB2312" w:cs="仿宋_GB2312"/>
          <w:sz w:val="32"/>
          <w:szCs w:val="32"/>
          <w:highlight w:val="none"/>
          <w:lang w:val="en-US" w:eastAsia="zh-CN"/>
        </w:rPr>
        <w:t>申报支持乡村振兴案例，入选《中国经济时报》2025年度“深耕农村金融 赋能乡村振兴”优秀案例。</w:t>
      </w:r>
      <w:r>
        <w:rPr>
          <w:rFonts w:hint="eastAsia" w:ascii="仿宋_GB2312" w:hAnsi="仿宋_GB2312" w:eastAsia="仿宋_GB2312" w:cs="仿宋_GB2312"/>
          <w:sz w:val="32"/>
          <w:szCs w:val="32"/>
          <w:highlight w:val="none"/>
          <w:lang w:eastAsia="zh-CN"/>
        </w:rPr>
        <w:t>被中国人民银行盐城市分行评为“2025年度盐城市银行业金融机构服务乡村振兴考核评估优秀档次”，</w:t>
      </w:r>
      <w:r>
        <w:rPr>
          <w:rFonts w:hint="eastAsia" w:ascii="仿宋_GB2312" w:hAnsi="仿宋_GB2312" w:eastAsia="仿宋_GB2312" w:cs="仿宋_GB2312"/>
          <w:sz w:val="32"/>
          <w:szCs w:val="32"/>
          <w:highlight w:val="none"/>
          <w:lang w:val="en-US" w:eastAsia="zh-CN"/>
        </w:rPr>
        <w:t>全市八家农商银行仅盐城一家获此殊荣。</w:t>
      </w:r>
    </w:p>
    <w:p w14:paraId="23F5BE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华文中宋" w:eastAsia="黑体"/>
          <w:sz w:val="32"/>
          <w:szCs w:val="32"/>
        </w:rPr>
      </w:pPr>
      <w:r>
        <w:rPr>
          <w:rFonts w:hint="eastAsia" w:ascii="黑体" w:hAnsi="华文中宋" w:eastAsia="黑体"/>
          <w:sz w:val="32"/>
          <w:szCs w:val="32"/>
          <w:lang w:val="en-US" w:eastAsia="zh-CN"/>
        </w:rPr>
        <w:t>三、</w:t>
      </w:r>
      <w:r>
        <w:rPr>
          <w:rFonts w:hint="eastAsia" w:ascii="黑体" w:hAnsi="华文中宋" w:eastAsia="黑体"/>
          <w:sz w:val="32"/>
          <w:szCs w:val="32"/>
        </w:rPr>
        <w:t>客户服务</w:t>
      </w:r>
    </w:p>
    <w:p w14:paraId="031132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3" w:firstLineChars="200"/>
        <w:textAlignment w:val="auto"/>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 w:eastAsia="仿宋_GB2312" w:cs="仿宋"/>
          <w:b/>
          <w:bCs/>
          <w:spacing w:val="10"/>
          <w:sz w:val="32"/>
          <w:szCs w:val="32"/>
          <w:highlight w:val="none"/>
          <w:lang w:val="en-US" w:eastAsia="zh-CN" w:bidi="ar-SA"/>
        </w:rPr>
        <w:t>（一）</w:t>
      </w:r>
      <w:r>
        <w:rPr>
          <w:rFonts w:hint="eastAsia" w:ascii="仿宋_GB2312" w:hAnsi="仿宋_GB2312" w:eastAsia="仿宋_GB2312" w:cs="仿宋_GB2312"/>
          <w:b/>
          <w:bCs/>
          <w:color w:val="auto"/>
          <w:kern w:val="2"/>
          <w:sz w:val="32"/>
          <w:szCs w:val="32"/>
          <w:lang w:val="en-US" w:eastAsia="zh-CN" w:bidi="ar-SA"/>
        </w:rPr>
        <w:t>在厅堂服务上“出真招”</w:t>
      </w:r>
      <w:r>
        <w:rPr>
          <w:rFonts w:hint="eastAsia" w:ascii="仿宋_GB2312" w:hAnsi="仿宋" w:eastAsia="仿宋_GB2312" w:cs="仿宋"/>
          <w:b/>
          <w:bCs/>
          <w:spacing w:val="10"/>
          <w:sz w:val="32"/>
          <w:szCs w:val="32"/>
          <w:highlight w:val="none"/>
          <w:lang w:val="en-US" w:eastAsia="zh-CN" w:bidi="ar-SA"/>
        </w:rPr>
        <w:t>。</w:t>
      </w:r>
      <w:r>
        <w:rPr>
          <w:rFonts w:hint="eastAsia" w:ascii="仿宋_GB2312" w:hAnsi="仿宋_GB2312" w:eastAsia="仿宋_GB2312" w:cs="仿宋_GB2312"/>
          <w:b w:val="0"/>
          <w:bCs/>
          <w:color w:val="auto"/>
          <w:kern w:val="0"/>
          <w:sz w:val="32"/>
          <w:szCs w:val="32"/>
          <w:highlight w:val="none"/>
          <w:lang w:val="en-US" w:eastAsia="zh-CN" w:bidi="ar-SA"/>
        </w:rPr>
        <w:t>根据《江苏省农村商业银行系统网点转型标准化建设工作指引（试行）》《厅堂管理规范工作手册》等文件要求，建立完善本行网点文明服务制度办法，开展“运营服务效率年”活动。为做好老年客群厅堂服务保障，开展“适老服务便利化专项行动”，从硬件改造、软件配备、产品渠道优化、队伍建设等方面入手，实现网点“硬件”和“软件”的双提升。坚持将“枫桥经验”作为深化金融消保和信访投诉工作的指导，做好“行长接待日”，营造“大抓基层、大抓源头、大抓调解”的浓厚氛围，切实提升金融纠纷调解质效。同时，深入开展不法贷款中介排查整治专项行动，为防范化解重点领域风险、维护区域金融稳定贡献农商力量。</w:t>
      </w:r>
    </w:p>
    <w:p w14:paraId="2722BBE9">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83" w:firstLineChars="200"/>
        <w:jc w:val="both"/>
        <w:textAlignment w:val="auto"/>
        <w:rPr>
          <w:rFonts w:hint="default"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 w:eastAsia="仿宋_GB2312" w:cs="仿宋"/>
          <w:b/>
          <w:bCs/>
          <w:color w:val="auto"/>
          <w:spacing w:val="10"/>
          <w:kern w:val="2"/>
          <w:sz w:val="32"/>
          <w:szCs w:val="32"/>
          <w:highlight w:val="none"/>
          <w:lang w:val="en-US" w:eastAsia="zh-CN" w:bidi="ar-SA"/>
        </w:rPr>
        <w:t>（二）</w:t>
      </w:r>
      <w:r>
        <w:rPr>
          <w:rFonts w:hint="eastAsia" w:ascii="仿宋_GB2312" w:hAnsi="仿宋_GB2312" w:eastAsia="仿宋_GB2312" w:cs="仿宋_GB2312"/>
          <w:b/>
          <w:bCs/>
          <w:color w:val="auto"/>
          <w:kern w:val="2"/>
          <w:sz w:val="32"/>
          <w:szCs w:val="32"/>
          <w:lang w:val="en-US" w:eastAsia="zh-CN" w:bidi="ar-SA"/>
        </w:rPr>
        <w:t>在信贷服务上“出实招”</w:t>
      </w:r>
      <w:r>
        <w:rPr>
          <w:rFonts w:hint="eastAsia" w:ascii="仿宋_GB2312" w:hAnsi="仿宋" w:eastAsia="仿宋_GB2312" w:cs="仿宋"/>
          <w:b/>
          <w:bCs/>
          <w:color w:val="auto"/>
          <w:spacing w:val="10"/>
          <w:sz w:val="32"/>
          <w:szCs w:val="32"/>
          <w:highlight w:val="none"/>
          <w:lang w:val="en-US" w:eastAsia="zh-CN" w:bidi="ar-SA"/>
        </w:rPr>
        <w:t>。</w:t>
      </w:r>
      <w:r>
        <w:rPr>
          <w:rFonts w:hint="eastAsia" w:ascii="仿宋_GB2312" w:hAnsi="仿宋" w:eastAsia="仿宋_GB2312" w:cs="Times New Roman"/>
          <w:color w:val="auto"/>
          <w:sz w:val="32"/>
          <w:szCs w:val="32"/>
          <w:highlight w:val="none"/>
          <w:lang w:val="en-US" w:eastAsia="zh-CN"/>
        </w:rPr>
        <w:t>持续加大重点领域融资支持，把为实体经济发展提供优质的金融服务作为立行之本、兴业之道。把服务实体经济、服务小微民营企业作为全年工作的重中之重，不断优化支农支小的顶层设计和战略规划，有力保障了小微民营企业的金融供给质量和水平。截至2025年末，</w:t>
      </w:r>
      <w:r>
        <w:rPr>
          <w:rFonts w:hint="default" w:ascii="仿宋_GB2312" w:hAnsi="仿宋_GB2312" w:eastAsia="仿宋_GB2312" w:cs="仿宋_GB2312"/>
          <w:b w:val="0"/>
          <w:bCs w:val="0"/>
          <w:color w:val="auto"/>
          <w:kern w:val="2"/>
          <w:sz w:val="32"/>
          <w:szCs w:val="32"/>
          <w:highlight w:val="none"/>
          <w:u w:val="none"/>
          <w:lang w:val="en-US" w:eastAsia="zh-CN" w:bidi="ar-SA"/>
        </w:rPr>
        <w:t>各项贷款余额（人行口径）449.97亿元，较年初</w:t>
      </w:r>
      <w:r>
        <w:rPr>
          <w:rFonts w:hint="eastAsia" w:ascii="仿宋_GB2312" w:hAnsi="仿宋_GB2312" w:eastAsia="仿宋_GB2312" w:cs="仿宋_GB2312"/>
          <w:color w:val="auto"/>
          <w:kern w:val="2"/>
          <w:sz w:val="32"/>
          <w:szCs w:val="32"/>
          <w:highlight w:val="none"/>
          <w:u w:val="none"/>
          <w:lang w:val="en-US" w:eastAsia="zh-CN" w:bidi="ar-SA"/>
        </w:rPr>
        <w:t>增加</w:t>
      </w:r>
      <w:r>
        <w:rPr>
          <w:rFonts w:hint="default" w:ascii="仿宋_GB2312" w:hAnsi="仿宋_GB2312" w:eastAsia="仿宋_GB2312" w:cs="仿宋_GB2312"/>
          <w:b w:val="0"/>
          <w:bCs w:val="0"/>
          <w:color w:val="auto"/>
          <w:kern w:val="2"/>
          <w:sz w:val="32"/>
          <w:szCs w:val="32"/>
          <w:highlight w:val="none"/>
          <w:u w:val="none"/>
          <w:lang w:val="en-US" w:eastAsia="zh-CN" w:bidi="ar-SA"/>
        </w:rPr>
        <w:t>36.13亿元，增幅8.73%</w:t>
      </w:r>
      <w:r>
        <w:rPr>
          <w:rFonts w:hint="eastAsia" w:ascii="仿宋_GB2312" w:hAnsi="仿宋_GB2312" w:eastAsia="仿宋_GB2312" w:cs="仿宋_GB2312"/>
          <w:b w:val="0"/>
          <w:bCs w:val="0"/>
          <w:color w:val="auto"/>
          <w:kern w:val="2"/>
          <w:sz w:val="32"/>
          <w:szCs w:val="32"/>
          <w:highlight w:val="none"/>
          <w:u w:val="none"/>
          <w:lang w:val="en-US" w:eastAsia="zh-CN" w:bidi="ar-SA"/>
        </w:rPr>
        <w:t>，</w:t>
      </w:r>
      <w:r>
        <w:rPr>
          <w:rFonts w:hint="eastAsia" w:ascii="仿宋_GB2312" w:hAnsi="仿宋_GB2312" w:eastAsia="仿宋_GB2312" w:cs="仿宋_GB2312"/>
          <w:color w:val="auto"/>
          <w:kern w:val="2"/>
          <w:sz w:val="32"/>
          <w:szCs w:val="32"/>
          <w:highlight w:val="none"/>
          <w:u w:val="none"/>
          <w:lang w:val="en-US" w:eastAsia="zh-CN" w:bidi="ar-SA"/>
        </w:rPr>
        <w:t>位列全省第8名。</w:t>
      </w:r>
      <w:r>
        <w:rPr>
          <w:rFonts w:hint="default" w:ascii="仿宋_GB2312" w:hAnsi="仿宋_GB2312" w:eastAsia="仿宋_GB2312" w:cs="仿宋_GB2312"/>
          <w:b w:val="0"/>
          <w:bCs w:val="0"/>
          <w:color w:val="auto"/>
          <w:kern w:val="2"/>
          <w:sz w:val="32"/>
          <w:szCs w:val="32"/>
          <w:highlight w:val="none"/>
          <w:u w:val="none"/>
          <w:lang w:val="en-US" w:eastAsia="zh-CN" w:bidi="ar-SA"/>
        </w:rPr>
        <w:t>其中，民营企业贷款余额182.71亿元，较年初增长13.00%；普惠型小微企业贷款保持较快增长，“支农支小”主力军地位更加巩固。</w:t>
      </w:r>
    </w:p>
    <w:p w14:paraId="094EF93D">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83" w:firstLineChars="200"/>
        <w:jc w:val="both"/>
        <w:textAlignment w:val="auto"/>
        <w:rPr>
          <w:rFonts w:hint="default" w:ascii="仿宋_GB2312" w:hAnsi="仿宋_GB2312" w:eastAsia="仿宋_GB2312" w:cs="仿宋_GB2312"/>
          <w:b w:val="0"/>
          <w:bCs/>
          <w:color w:val="auto"/>
          <w:kern w:val="0"/>
          <w:sz w:val="32"/>
          <w:szCs w:val="32"/>
          <w:highlight w:val="none"/>
          <w:lang w:val="en-US" w:eastAsia="zh-CN" w:bidi="ar-SA"/>
        </w:rPr>
      </w:pPr>
      <w:r>
        <w:rPr>
          <w:rFonts w:hint="eastAsia" w:ascii="仿宋_GB2312" w:hAnsi="仿宋" w:eastAsia="仿宋_GB2312" w:cs="仿宋"/>
          <w:b/>
          <w:bCs/>
          <w:color w:val="auto"/>
          <w:spacing w:val="10"/>
          <w:kern w:val="2"/>
          <w:sz w:val="32"/>
          <w:szCs w:val="32"/>
          <w:highlight w:val="none"/>
          <w:lang w:val="en-US" w:eastAsia="zh-CN" w:bidi="ar-SA"/>
        </w:rPr>
        <w:t>（三）在产品创新上“出新招”。</w:t>
      </w:r>
      <w:r>
        <w:rPr>
          <w:rFonts w:hint="eastAsia" w:ascii="仿宋_GB2312" w:hAnsi="仿宋_GB2312" w:eastAsia="仿宋_GB2312" w:cs="仿宋_GB2312"/>
          <w:b w:val="0"/>
          <w:bCs w:val="0"/>
          <w:color w:val="auto"/>
          <w:kern w:val="2"/>
          <w:sz w:val="32"/>
          <w:szCs w:val="32"/>
          <w:highlight w:val="none"/>
          <w:u w:val="none"/>
          <w:lang w:val="en-US" w:eastAsia="zh-CN" w:bidi="ar-SA"/>
        </w:rPr>
        <w:t>立足盐城43个红色镇村发展实际，推出红色信贷产品“红盐贷”，市政府将其列入《盐城市服务红色镇村支持乡村振兴专项行动方案》《关于加强全市中小微企业融资支持的若干措施》等文件中，创新“红农贷、红商贷、红企贷”三大核心产品，精准匹配不同主体融资需求，为红色镇村注入金融动力。截至2025年末，投放“红盐贷”4693户，金额17.82亿元。</w:t>
      </w:r>
      <w:r>
        <w:rPr>
          <w:rFonts w:hint="default" w:ascii="仿宋_GB2312" w:hAnsi="仿宋_GB2312" w:eastAsia="仿宋_GB2312" w:cs="仿宋_GB2312"/>
          <w:b w:val="0"/>
          <w:bCs w:val="0"/>
          <w:color w:val="auto"/>
          <w:kern w:val="2"/>
          <w:sz w:val="32"/>
          <w:szCs w:val="32"/>
          <w:highlight w:val="none"/>
          <w:u w:val="none"/>
          <w:lang w:val="en-US" w:eastAsia="zh-CN" w:bidi="ar-SA"/>
        </w:rPr>
        <w:t>聚焦全市“5+2”战略性新兴产业和23条重点产业链，供应链金融企业用信</w:t>
      </w:r>
      <w:r>
        <w:rPr>
          <w:rFonts w:hint="eastAsia" w:ascii="仿宋_GB2312" w:hAnsi="仿宋_GB2312" w:eastAsia="仿宋_GB2312" w:cs="仿宋_GB2312"/>
          <w:b w:val="0"/>
          <w:bCs w:val="0"/>
          <w:sz w:val="32"/>
          <w:szCs w:val="32"/>
          <w:highlight w:val="none"/>
          <w:u w:val="none"/>
          <w:lang w:val="en-US" w:eastAsia="zh-CN"/>
        </w:rPr>
        <w:t>325户，</w:t>
      </w:r>
      <w:r>
        <w:rPr>
          <w:rFonts w:hint="default" w:ascii="仿宋_GB2312" w:hAnsi="仿宋_GB2312" w:eastAsia="仿宋_GB2312" w:cs="仿宋_GB2312"/>
          <w:b w:val="0"/>
          <w:bCs w:val="0"/>
          <w:color w:val="auto"/>
          <w:kern w:val="2"/>
          <w:sz w:val="32"/>
          <w:szCs w:val="32"/>
          <w:highlight w:val="none"/>
          <w:u w:val="none"/>
          <w:lang w:val="en-US" w:eastAsia="zh-CN" w:bidi="ar-SA"/>
        </w:rPr>
        <w:t>余额34.91亿元。全力做好“五篇大文章”</w:t>
      </w:r>
      <w:r>
        <w:rPr>
          <w:rFonts w:hint="eastAsia" w:ascii="仿宋_GB2312" w:hAnsi="仿宋_GB2312" w:eastAsia="仿宋_GB2312" w:cs="仿宋_GB2312"/>
          <w:b w:val="0"/>
          <w:bCs w:val="0"/>
          <w:color w:val="auto"/>
          <w:kern w:val="2"/>
          <w:sz w:val="32"/>
          <w:szCs w:val="32"/>
          <w:highlight w:val="none"/>
          <w:u w:val="none"/>
          <w:lang w:val="en-US" w:eastAsia="zh-CN" w:bidi="ar-SA"/>
        </w:rPr>
        <w:t>，</w:t>
      </w:r>
      <w:r>
        <w:rPr>
          <w:rFonts w:hint="default" w:ascii="仿宋_GB2312" w:hAnsi="仿宋_GB2312" w:eastAsia="仿宋_GB2312" w:cs="仿宋_GB2312"/>
          <w:b w:val="0"/>
          <w:bCs w:val="0"/>
          <w:color w:val="auto"/>
          <w:kern w:val="2"/>
          <w:sz w:val="32"/>
          <w:szCs w:val="32"/>
          <w:highlight w:val="none"/>
          <w:u w:val="none"/>
          <w:lang w:val="en-US" w:eastAsia="zh-CN" w:bidi="ar-SA"/>
        </w:rPr>
        <w:t>科技型企业贷款余额36.59亿元，较年初净增3.22亿元；绿色信贷余额11.87亿元，净增3.07亿元。</w:t>
      </w:r>
    </w:p>
    <w:p w14:paraId="56952456">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ascii="黑体" w:hAnsi="黑体" w:eastAsia="黑体" w:cs="仿宋"/>
          <w:sz w:val="32"/>
          <w:szCs w:val="32"/>
        </w:rPr>
      </w:pPr>
      <w:r>
        <w:rPr>
          <w:rFonts w:hint="eastAsia" w:ascii="黑体" w:hAnsi="黑体" w:eastAsia="黑体" w:cs="仿宋"/>
          <w:sz w:val="32"/>
          <w:szCs w:val="32"/>
          <w:lang w:val="en-US" w:eastAsia="zh-CN"/>
        </w:rPr>
        <w:t>四</w:t>
      </w:r>
      <w:r>
        <w:rPr>
          <w:rFonts w:hint="eastAsia" w:ascii="黑体" w:hAnsi="黑体" w:eastAsia="黑体" w:cs="仿宋"/>
          <w:sz w:val="32"/>
          <w:szCs w:val="32"/>
        </w:rPr>
        <w:t>、员工发展</w:t>
      </w:r>
    </w:p>
    <w:p w14:paraId="234D5763">
      <w:pPr>
        <w:keepNext w:val="0"/>
        <w:keepLines w:val="0"/>
        <w:pageBreakBefore w:val="0"/>
        <w:widowControl w:val="0"/>
        <w:kinsoku/>
        <w:wordWrap/>
        <w:overflowPunct w:val="0"/>
        <w:topLinePunct/>
        <w:autoSpaceDE/>
        <w:autoSpaceDN/>
        <w:bidi w:val="0"/>
        <w:adjustRightInd w:val="0"/>
        <w:snapToGrid w:val="0"/>
        <w:spacing w:line="560" w:lineRule="exact"/>
        <w:ind w:firstLine="683" w:firstLineChars="200"/>
        <w:textAlignment w:val="auto"/>
        <w:rPr>
          <w:rFonts w:hint="eastAsia" w:ascii="仿宋_GB2312" w:hAnsi="仿宋_GB2312" w:eastAsia="仿宋_GB2312" w:cs="仿宋_GB2312"/>
          <w:color w:val="auto"/>
          <w:sz w:val="32"/>
          <w:szCs w:val="32"/>
          <w:highlight w:val="yellow"/>
          <w:lang w:val="en-US" w:eastAsia="zh-CN"/>
        </w:rPr>
      </w:pPr>
      <w:r>
        <w:rPr>
          <w:rFonts w:hint="eastAsia" w:ascii="仿宋_GB2312" w:hAnsi="仿宋" w:eastAsia="仿宋_GB2312" w:cs="仿宋"/>
          <w:b/>
          <w:bCs/>
          <w:spacing w:val="10"/>
          <w:kern w:val="2"/>
          <w:sz w:val="32"/>
          <w:szCs w:val="32"/>
          <w:highlight w:val="none"/>
          <w:lang w:val="en-US" w:eastAsia="zh-CN" w:bidi="ar-SA"/>
        </w:rPr>
        <w:t>（一）围绕全面培养，促进干部员工成长成才。</w:t>
      </w:r>
      <w:r>
        <w:rPr>
          <w:rFonts w:hint="eastAsia" w:ascii="仿宋_GB2312" w:hAnsi="仿宋_GB2312" w:eastAsia="仿宋_GB2312" w:cs="仿宋_GB2312"/>
          <w:b/>
          <w:bCs/>
          <w:color w:val="000000"/>
          <w:sz w:val="32"/>
          <w:szCs w:val="32"/>
          <w:highlight w:val="none"/>
        </w:rPr>
        <w:t>一是</w:t>
      </w:r>
      <w:r>
        <w:rPr>
          <w:rFonts w:hint="eastAsia" w:ascii="仿宋_GB2312" w:hAnsi="仿宋_GB2312" w:eastAsia="仿宋_GB2312" w:cs="仿宋_GB2312"/>
          <w:color w:val="000000"/>
          <w:sz w:val="32"/>
          <w:szCs w:val="32"/>
          <w:highlight w:val="none"/>
        </w:rPr>
        <w:t>推动多岗位历练成长。进一步引导总部人员下沉到基层网点和营销一线岗位历练，2024年以来，已有50多名机关干部员工主动到基层锻炼，既为干部员工打通了多元化职业发展通道，也强化了“</w:t>
      </w:r>
      <w:r>
        <w:rPr>
          <w:rFonts w:hint="eastAsia" w:ascii="仿宋_GB2312" w:hAnsi="仿宋_GB2312" w:eastAsia="仿宋_GB2312" w:cs="仿宋_GB2312"/>
          <w:color w:val="000000"/>
          <w:sz w:val="32"/>
          <w:szCs w:val="32"/>
          <w:highlight w:val="none"/>
          <w:lang w:val="en-US" w:eastAsia="zh-CN"/>
        </w:rPr>
        <w:t>员工</w:t>
      </w:r>
      <w:r>
        <w:rPr>
          <w:rFonts w:hint="eastAsia" w:ascii="仿宋_GB2312" w:hAnsi="仿宋_GB2312" w:eastAsia="仿宋_GB2312" w:cs="仿宋_GB2312"/>
          <w:color w:val="000000"/>
          <w:sz w:val="32"/>
          <w:szCs w:val="32"/>
          <w:highlight w:val="none"/>
        </w:rPr>
        <w:t>能进能出”的用人导向</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深化银政挂职锻炼合作，2025年选派3</w:t>
      </w:r>
      <w:r>
        <w:rPr>
          <w:rFonts w:hint="eastAsia" w:ascii="仿宋_GB2312" w:hAnsi="仿宋_GB2312" w:eastAsia="仿宋_GB2312" w:cs="仿宋_GB2312"/>
          <w:color w:val="000000"/>
          <w:sz w:val="32"/>
          <w:szCs w:val="32"/>
          <w:highlight w:val="none"/>
          <w:lang w:val="en-US" w:eastAsia="zh-CN"/>
        </w:rPr>
        <w:t>6</w:t>
      </w:r>
      <w:r>
        <w:rPr>
          <w:rFonts w:hint="eastAsia" w:ascii="仿宋_GB2312" w:hAnsi="仿宋_GB2312" w:eastAsia="仿宋_GB2312" w:cs="仿宋_GB2312"/>
          <w:color w:val="000000"/>
          <w:sz w:val="32"/>
          <w:szCs w:val="32"/>
          <w:highlight w:val="none"/>
        </w:rPr>
        <w:t>名（累计选派127人）党员干部到地方党政部门挂职，同时推动客户经理到村居、社区担任金融助理，为干部人才搭建多元化成长平台，既加强了银政之间的交流合作，也促进了普惠金融服务进一步下沉落地。</w:t>
      </w:r>
      <w:r>
        <w:rPr>
          <w:rFonts w:hint="eastAsia" w:ascii="仿宋_GB2312" w:hAnsi="仿宋_GB2312" w:eastAsia="仿宋_GB2312" w:cs="仿宋_GB2312"/>
          <w:b/>
          <w:bCs/>
          <w:color w:val="000000"/>
          <w:sz w:val="32"/>
          <w:szCs w:val="32"/>
          <w:highlight w:val="none"/>
        </w:rPr>
        <w:t>二是</w:t>
      </w:r>
      <w:r>
        <w:rPr>
          <w:rFonts w:hint="eastAsia" w:ascii="仿宋_GB2312" w:hAnsi="仿宋_GB2312" w:eastAsia="仿宋_GB2312" w:cs="仿宋_GB2312"/>
          <w:color w:val="000000"/>
          <w:sz w:val="32"/>
          <w:szCs w:val="32"/>
          <w:highlight w:val="none"/>
        </w:rPr>
        <w:t>构建系统化培训体系。统筹制定全年培训工作计划，2025年组织行内培训57项，累计覆盖8877人次；参与联合银行组织的培训48次，累计43人次；参加外部高水平培训15次，累计106人次。重点强化信贷、运营等核心条线专业训练，针对性开展客户经理、柜员等岗位专项培训，不断精进各条线从业人员的专业知识和业务技能，切实提升履职基本功。</w:t>
      </w:r>
      <w:r>
        <w:rPr>
          <w:rFonts w:hint="eastAsia" w:ascii="仿宋_GB2312" w:hAnsi="仿宋_GB2312" w:eastAsia="仿宋_GB2312" w:cs="仿宋_GB2312"/>
          <w:b/>
          <w:bCs/>
          <w:color w:val="000000"/>
          <w:sz w:val="32"/>
          <w:szCs w:val="32"/>
          <w:highlight w:val="none"/>
        </w:rPr>
        <w:t>三是</w:t>
      </w:r>
      <w:r>
        <w:rPr>
          <w:rFonts w:hint="eastAsia" w:ascii="仿宋_GB2312" w:hAnsi="仿宋_GB2312" w:eastAsia="仿宋_GB2312" w:cs="仿宋_GB2312"/>
          <w:color w:val="000000"/>
          <w:sz w:val="32"/>
          <w:szCs w:val="32"/>
          <w:highlight w:val="none"/>
        </w:rPr>
        <w:t>强化综合能力赋能提质。</w:t>
      </w:r>
      <w:r>
        <w:rPr>
          <w:rFonts w:hint="eastAsia" w:ascii="仿宋_GB2312" w:hAnsi="仿宋_GB2312" w:eastAsia="仿宋_GB2312" w:cs="仿宋_GB2312"/>
          <w:color w:val="000000"/>
          <w:sz w:val="32"/>
          <w:szCs w:val="32"/>
          <w:highlight w:val="none"/>
          <w:lang w:val="en-US" w:eastAsia="zh-CN"/>
        </w:rPr>
        <w:t>2025年</w:t>
      </w:r>
      <w:r>
        <w:rPr>
          <w:rFonts w:hint="eastAsia" w:ascii="仿宋_GB2312" w:hAnsi="仿宋_GB2312" w:eastAsia="仿宋_GB2312" w:cs="仿宋_GB2312"/>
          <w:color w:val="000000"/>
          <w:sz w:val="32"/>
          <w:szCs w:val="32"/>
          <w:highlight w:val="none"/>
        </w:rPr>
        <w:t>组织开展内训师培养、中高层及后备干部能力提升、“做小做散”专项赋能等重点培训项目，聚焦管理能力、风险防控、创新思维等核心素养，推动培训成果有效转化为岗位实践效能，助力干部综合能力全面提升。</w:t>
      </w:r>
    </w:p>
    <w:p w14:paraId="4731EB33">
      <w:pPr>
        <w:keepNext w:val="0"/>
        <w:keepLines w:val="0"/>
        <w:pageBreakBefore w:val="0"/>
        <w:widowControl w:val="0"/>
        <w:kinsoku/>
        <w:wordWrap/>
        <w:overflowPunct w:val="0"/>
        <w:topLinePunct/>
        <w:autoSpaceDE/>
        <w:autoSpaceDN/>
        <w:bidi w:val="0"/>
        <w:adjustRightInd w:val="0"/>
        <w:snapToGrid w:val="0"/>
        <w:spacing w:line="560" w:lineRule="exact"/>
        <w:ind w:firstLine="68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 w:eastAsia="仿宋_GB2312" w:cs="仿宋"/>
          <w:b/>
          <w:bCs/>
          <w:color w:val="auto"/>
          <w:spacing w:val="10"/>
          <w:kern w:val="2"/>
          <w:sz w:val="32"/>
          <w:szCs w:val="32"/>
          <w:highlight w:val="none"/>
          <w:lang w:val="en-US" w:eastAsia="zh-CN" w:bidi="ar-SA"/>
        </w:rPr>
        <w:t>（二）围绕以人为本，保障干部员工合法权益。</w:t>
      </w:r>
      <w:r>
        <w:rPr>
          <w:rFonts w:hint="eastAsia" w:ascii="仿宋_GB2312" w:eastAsia="仿宋_GB2312"/>
          <w:b/>
          <w:bCs/>
          <w:color w:val="auto"/>
          <w:sz w:val="32"/>
          <w:szCs w:val="32"/>
          <w:lang w:val="en-US" w:eastAsia="zh-CN"/>
        </w:rPr>
        <w:t>一是</w:t>
      </w:r>
      <w:r>
        <w:rPr>
          <w:rFonts w:hint="eastAsia" w:ascii="仿宋_GB2312" w:hAnsi="仿宋" w:eastAsia="仿宋_GB2312" w:cs="仿宋"/>
          <w:color w:val="auto"/>
          <w:sz w:val="32"/>
          <w:szCs w:val="32"/>
        </w:rPr>
        <w:t>构建和谐的劳动关系</w:t>
      </w:r>
      <w:r>
        <w:rPr>
          <w:rFonts w:hint="eastAsia" w:ascii="仿宋_GB2312" w:hAnsi="仿宋" w:eastAsia="仿宋_GB2312" w:cs="仿宋"/>
          <w:color w:val="auto"/>
          <w:sz w:val="32"/>
          <w:szCs w:val="32"/>
          <w:lang w:eastAsia="zh-CN"/>
        </w:rPr>
        <w:t>。</w:t>
      </w:r>
      <w:r>
        <w:rPr>
          <w:rFonts w:hint="eastAsia" w:ascii="仿宋_GB2312" w:eastAsia="仿宋_GB2312"/>
          <w:color w:val="auto"/>
          <w:sz w:val="32"/>
          <w:szCs w:val="32"/>
        </w:rPr>
        <w:t>贯彻执行《劳动法》《劳动合同法》《社会保险法》等法律法规，畅通职工诉求表达渠道。</w:t>
      </w:r>
      <w:r>
        <w:rPr>
          <w:rFonts w:hint="default" w:ascii="Times New Roman" w:hAnsi="Times New Roman" w:eastAsia="仿宋_GB2312" w:cs="Times New Roman"/>
          <w:color w:val="auto"/>
          <w:sz w:val="32"/>
          <w:szCs w:val="32"/>
          <w:highlight w:val="none"/>
          <w:lang w:val="en-US" w:eastAsia="zh-CN"/>
        </w:rPr>
        <w:t>修订出台</w:t>
      </w:r>
      <w:r>
        <w:rPr>
          <w:rFonts w:hint="default" w:ascii="Times New Roman" w:hAnsi="Times New Roman" w:eastAsia="仿宋_GB2312" w:cs="Times New Roman"/>
          <w:color w:val="auto"/>
          <w:sz w:val="32"/>
          <w:szCs w:val="32"/>
          <w:highlight w:val="none"/>
        </w:rPr>
        <w:t>了</w:t>
      </w:r>
      <w:r>
        <w:rPr>
          <w:rFonts w:hint="eastAsia" w:ascii="仿宋_GB2312" w:eastAsia="仿宋_GB2312"/>
          <w:color w:val="auto"/>
          <w:sz w:val="32"/>
          <w:szCs w:val="32"/>
          <w:highlight w:val="none"/>
        </w:rPr>
        <w:t>《后备人才库管理暂行办法》《中层管理人员试用期管理办法》</w:t>
      </w:r>
      <w:r>
        <w:rPr>
          <w:rFonts w:hint="eastAsia" w:ascii="仿宋_GB2312" w:eastAsia="仿宋_GB2312"/>
          <w:color w:val="auto"/>
          <w:sz w:val="32"/>
          <w:szCs w:val="32"/>
          <w:highlight w:val="none"/>
          <w:lang w:val="en-US" w:eastAsia="zh-CN"/>
        </w:rPr>
        <w:t>等28</w:t>
      </w:r>
      <w:r>
        <w:rPr>
          <w:rFonts w:hint="eastAsia" w:ascii="仿宋_GB2312" w:eastAsia="仿宋_GB2312"/>
          <w:color w:val="auto"/>
          <w:sz w:val="32"/>
          <w:szCs w:val="32"/>
          <w:highlight w:val="none"/>
        </w:rPr>
        <w:t>项制度</w:t>
      </w:r>
      <w:r>
        <w:rPr>
          <w:rFonts w:hint="eastAsia" w:ascii="仿宋_GB2312" w:eastAsia="仿宋_GB2312"/>
          <w:color w:val="auto"/>
          <w:sz w:val="32"/>
          <w:szCs w:val="32"/>
          <w:highlight w:val="none"/>
          <w:lang w:val="en-US" w:eastAsia="zh-CN"/>
        </w:rPr>
        <w:t>办法</w:t>
      </w:r>
      <w:r>
        <w:rPr>
          <w:rFonts w:hint="default" w:ascii="Times New Roman" w:hAnsi="Times New Roman" w:eastAsia="仿宋_GB2312" w:cs="Times New Roman"/>
          <w:color w:val="auto"/>
          <w:sz w:val="32"/>
          <w:szCs w:val="32"/>
          <w:highlight w:val="none"/>
          <w:lang w:eastAsia="zh-CN"/>
        </w:rPr>
        <w:t>，</w:t>
      </w:r>
      <w:r>
        <w:rPr>
          <w:rFonts w:hint="eastAsia" w:ascii="仿宋_GB2312" w:hAnsi="仿宋" w:eastAsia="仿宋_GB2312" w:cs="仿宋"/>
          <w:color w:val="auto"/>
          <w:sz w:val="32"/>
          <w:szCs w:val="32"/>
        </w:rPr>
        <w:t>切实保障员工合法权益，</w:t>
      </w:r>
      <w:r>
        <w:rPr>
          <w:rFonts w:hint="eastAsia" w:ascii="仿宋_GB2312" w:hAnsi="仿宋" w:eastAsia="仿宋_GB2312" w:cs="仿宋"/>
          <w:sz w:val="32"/>
          <w:szCs w:val="32"/>
        </w:rPr>
        <w:t>建立规范有序、公正合理、和谐稳定的劳动关系。</w:t>
      </w:r>
      <w:r>
        <w:rPr>
          <w:rFonts w:hint="eastAsia" w:ascii="仿宋_GB2312" w:eastAsia="仿宋_GB2312"/>
          <w:b/>
          <w:sz w:val="32"/>
          <w:szCs w:val="32"/>
          <w:lang w:val="en-US" w:eastAsia="zh-CN"/>
        </w:rPr>
        <w:t>二</w:t>
      </w:r>
      <w:r>
        <w:rPr>
          <w:rFonts w:hint="eastAsia" w:ascii="仿宋_GB2312" w:eastAsia="仿宋_GB2312"/>
          <w:b/>
          <w:sz w:val="32"/>
          <w:szCs w:val="32"/>
        </w:rPr>
        <w:t>是</w:t>
      </w:r>
      <w:r>
        <w:rPr>
          <w:rFonts w:hint="eastAsia" w:ascii="Times New Roman" w:hAnsi="Times New Roman" w:eastAsia="仿宋_GB2312" w:cs="Times New Roman"/>
          <w:b w:val="0"/>
          <w:bCs w:val="0"/>
          <w:sz w:val="32"/>
          <w:szCs w:val="32"/>
          <w:highlight w:val="none"/>
          <w:lang w:val="en-US" w:eastAsia="zh-CN"/>
        </w:rPr>
        <w:t>完善补充医疗保险。</w:t>
      </w:r>
      <w:r>
        <w:rPr>
          <w:rFonts w:hint="eastAsia" w:ascii="仿宋_GB2312" w:hAnsi="仿宋_GB2312" w:eastAsia="仿宋_GB2312" w:cs="仿宋_GB2312"/>
          <w:b w:val="0"/>
          <w:bCs w:val="0"/>
          <w:color w:val="auto"/>
          <w:sz w:val="32"/>
          <w:szCs w:val="32"/>
          <w:lang w:val="en-US" w:eastAsia="zh-CN"/>
        </w:rPr>
        <w:t>对</w:t>
      </w:r>
      <w:r>
        <w:rPr>
          <w:rFonts w:hint="eastAsia" w:ascii="仿宋_GB2312" w:hAnsi="仿宋_GB2312" w:eastAsia="仿宋_GB2312" w:cs="仿宋_GB2312"/>
          <w:color w:val="auto"/>
          <w:sz w:val="32"/>
          <w:szCs w:val="32"/>
          <w:lang w:eastAsia="zh-CN"/>
        </w:rPr>
        <w:t>补充医疗保险管理办法</w:t>
      </w:r>
      <w:r>
        <w:rPr>
          <w:rFonts w:hint="eastAsia" w:ascii="仿宋_GB2312" w:hAnsi="仿宋_GB2312" w:eastAsia="仿宋_GB2312" w:cs="仿宋_GB2312"/>
          <w:color w:val="auto"/>
          <w:sz w:val="32"/>
          <w:szCs w:val="32"/>
          <w:lang w:val="en-US" w:eastAsia="zh-CN"/>
        </w:rPr>
        <w:t>进行修订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扩大了报销范围和对象，提高了报销比例和额度，并</w:t>
      </w:r>
      <w:r>
        <w:rPr>
          <w:rFonts w:hint="eastAsia" w:ascii="仿宋_GB2312" w:hAnsi="仿宋_GB2312" w:eastAsia="仿宋_GB2312" w:cs="仿宋_GB2312"/>
          <w:color w:val="auto"/>
          <w:sz w:val="32"/>
          <w:szCs w:val="32"/>
          <w:lang w:eastAsia="zh-CN"/>
        </w:rPr>
        <w:t>委托保险公司对补充医疗基金进行专业化管理，提高医疗费用报销频率和效率；完善商业保险投保，首次增加定期寿险、住院津贴、重大和轻度疾病保险项目，将在编员工配偶和16周以下未成年子女纳入保障对象，</w:t>
      </w:r>
      <w:r>
        <w:rPr>
          <w:rFonts w:hint="eastAsia" w:ascii="仿宋_GB2312" w:hAnsi="Times New Roman" w:eastAsia="仿宋_GB2312" w:cs="Times New Roman"/>
          <w:color w:val="auto"/>
          <w:kern w:val="0"/>
          <w:sz w:val="32"/>
          <w:szCs w:val="32"/>
          <w:lang w:val="en-US" w:eastAsia="zh-CN"/>
        </w:rPr>
        <w:t>进一步减轻员工医疗负担，增强员工幸福感</w:t>
      </w:r>
      <w:r>
        <w:rPr>
          <w:rFonts w:hint="eastAsia" w:ascii="Times New Roman" w:hAnsi="Times New Roman" w:eastAsia="仿宋_GB2312" w:cs="Times New Roman"/>
          <w:sz w:val="32"/>
          <w:szCs w:val="32"/>
          <w:highlight w:val="none"/>
          <w:lang w:val="en-US" w:eastAsia="zh-CN"/>
        </w:rPr>
        <w:t>。</w:t>
      </w:r>
      <w:r>
        <w:rPr>
          <w:rFonts w:hint="eastAsia" w:ascii="仿宋_GB2312" w:eastAsia="仿宋_GB2312"/>
          <w:b/>
          <w:bCs/>
          <w:sz w:val="32"/>
          <w:szCs w:val="32"/>
          <w:lang w:val="en-US" w:eastAsia="zh-CN"/>
        </w:rPr>
        <w:t>三是</w:t>
      </w:r>
      <w:r>
        <w:rPr>
          <w:rFonts w:hint="eastAsia" w:ascii="仿宋_GB2312" w:hAnsi="仿宋_GB2312" w:eastAsia="仿宋_GB2312" w:cs="仿宋_GB2312"/>
          <w:color w:val="000000"/>
          <w:sz w:val="32"/>
          <w:szCs w:val="32"/>
          <w:highlight w:val="none"/>
          <w:lang w:val="en-US" w:eastAsia="zh-CN"/>
        </w:rPr>
        <w:t>2025年补充医疗费用报销人数992人次，报销金额260</w:t>
      </w:r>
      <w:r>
        <w:rPr>
          <w:rFonts w:hint="eastAsia" w:ascii="仿宋_GB2312" w:hAnsi="仿宋_GB2312" w:eastAsia="仿宋_GB2312" w:cs="仿宋_GB2312"/>
          <w:color w:val="000000"/>
          <w:sz w:val="32"/>
          <w:szCs w:val="32"/>
          <w:highlight w:val="none"/>
          <w:lang w:eastAsia="zh-CN"/>
        </w:rPr>
        <w:t>万元，</w:t>
      </w:r>
      <w:r>
        <w:rPr>
          <w:rFonts w:hint="eastAsia" w:ascii="仿宋_GB2312" w:hAnsi="仿宋_GB2312" w:eastAsia="仿宋_GB2312" w:cs="仿宋_GB2312"/>
          <w:color w:val="000000"/>
          <w:sz w:val="32"/>
          <w:szCs w:val="32"/>
          <w:highlight w:val="none"/>
          <w:lang w:val="en-US" w:eastAsia="zh-CN"/>
        </w:rPr>
        <w:t>较前三年支出总和还多140万元，减轻在职及退休员工的医疗负担。</w:t>
      </w:r>
    </w:p>
    <w:p w14:paraId="1493F130">
      <w:pPr>
        <w:pStyle w:val="16"/>
        <w:keepNext w:val="0"/>
        <w:keepLines w:val="0"/>
        <w:pageBreakBefore w:val="0"/>
        <w:kinsoku/>
        <w:wordWrap/>
        <w:overflowPunct/>
        <w:topLinePunct w:val="0"/>
        <w:bidi w:val="0"/>
        <w:snapToGrid/>
        <w:spacing w:before="0" w:beforeAutospacing="0" w:after="0" w:afterAutospacing="0" w:line="560" w:lineRule="exact"/>
        <w:ind w:firstLine="640" w:firstLineChars="200"/>
        <w:jc w:val="both"/>
        <w:textAlignment w:val="auto"/>
        <w:rPr>
          <w:rFonts w:ascii="Times New Roman" w:hAnsi="Times New Roman" w:eastAsia="仿宋_GB2312"/>
          <w:kern w:val="2"/>
          <w:sz w:val="32"/>
          <w:szCs w:val="32"/>
        </w:rPr>
      </w:pPr>
      <w:r>
        <w:rPr>
          <w:rFonts w:hint="eastAsia" w:ascii="黑体" w:hAnsi="黑体" w:eastAsia="黑体" w:cs="仿宋"/>
          <w:sz w:val="32"/>
          <w:szCs w:val="32"/>
          <w:lang w:val="en-US" w:eastAsia="zh-CN"/>
        </w:rPr>
        <w:t>五</w:t>
      </w:r>
      <w:r>
        <w:rPr>
          <w:rFonts w:hint="eastAsia" w:ascii="黑体" w:hAnsi="黑体" w:eastAsia="黑体" w:cs="仿宋"/>
          <w:sz w:val="32"/>
          <w:szCs w:val="32"/>
        </w:rPr>
        <w:t>、热心公益</w:t>
      </w:r>
    </w:p>
    <w:p w14:paraId="4E6DB853">
      <w:pPr>
        <w:pStyle w:val="16"/>
        <w:keepNext w:val="0"/>
        <w:keepLines w:val="0"/>
        <w:pageBreakBefore w:val="0"/>
        <w:widowControl/>
        <w:suppressLineNumbers w:val="0"/>
        <w:shd w:val="clear" w:fill="FFFFFF"/>
        <w:kinsoku/>
        <w:wordWrap/>
        <w:overflowPunct/>
        <w:autoSpaceDE/>
        <w:autoSpaceDN/>
        <w:bidi w:val="0"/>
        <w:adjustRightInd/>
        <w:snapToGrid/>
        <w:spacing w:before="0" w:beforeAutospacing="0" w:after="0" w:afterAutospacing="0" w:line="560" w:lineRule="exact"/>
        <w:ind w:left="0" w:right="0" w:firstLine="683"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 w:eastAsia="仿宋_GB2312" w:cs="仿宋"/>
          <w:b/>
          <w:bCs/>
          <w:spacing w:val="10"/>
          <w:kern w:val="2"/>
          <w:sz w:val="32"/>
          <w:szCs w:val="32"/>
          <w:highlight w:val="none"/>
          <w:lang w:val="en-US" w:eastAsia="zh-CN" w:bidi="ar-SA"/>
        </w:rPr>
        <w:t>一是慈善公益人性化。</w:t>
      </w:r>
      <w:r>
        <w:rPr>
          <w:rFonts w:hint="default" w:ascii="仿宋_GB2312" w:hAnsi="仿宋_GB2312" w:eastAsia="仿宋_GB2312" w:cs="仿宋_GB2312"/>
          <w:b w:val="0"/>
          <w:bCs w:val="0"/>
          <w:color w:val="auto"/>
          <w:kern w:val="2"/>
          <w:sz w:val="32"/>
          <w:szCs w:val="32"/>
          <w:highlight w:val="none"/>
          <w:u w:val="none"/>
          <w:lang w:val="en-US" w:eastAsia="zh-CN" w:bidi="ar-SA"/>
        </w:rPr>
        <w:t>全年入库税收</w:t>
      </w:r>
      <w:r>
        <w:rPr>
          <w:rFonts w:hint="eastAsia" w:ascii="仿宋_GB2312" w:hAnsi="仿宋_GB2312" w:eastAsia="仿宋_GB2312" w:cs="仿宋_GB2312"/>
          <w:b w:val="0"/>
          <w:bCs w:val="0"/>
          <w:color w:val="auto"/>
          <w:kern w:val="2"/>
          <w:sz w:val="32"/>
          <w:szCs w:val="32"/>
          <w:highlight w:val="none"/>
          <w:u w:val="none"/>
          <w:lang w:val="en-US" w:eastAsia="zh-CN" w:bidi="ar-SA"/>
        </w:rPr>
        <w:t>2.2亿元，</w:t>
      </w:r>
      <w:r>
        <w:rPr>
          <w:rFonts w:hint="default" w:ascii="仿宋_GB2312" w:hAnsi="仿宋_GB2312" w:eastAsia="仿宋_GB2312" w:cs="仿宋_GB2312"/>
          <w:b w:val="0"/>
          <w:bCs w:val="0"/>
          <w:color w:val="auto"/>
          <w:kern w:val="2"/>
          <w:sz w:val="32"/>
          <w:szCs w:val="32"/>
          <w:highlight w:val="none"/>
          <w:u w:val="none"/>
          <w:lang w:val="en-US" w:eastAsia="zh-CN" w:bidi="ar-SA"/>
        </w:rPr>
        <w:t>贡献</w:t>
      </w:r>
      <w:r>
        <w:rPr>
          <w:rFonts w:hint="eastAsia" w:ascii="仿宋_GB2312" w:hAnsi="仿宋_GB2312" w:eastAsia="仿宋_GB2312" w:cs="仿宋_GB2312"/>
          <w:b w:val="0"/>
          <w:bCs w:val="0"/>
          <w:color w:val="auto"/>
          <w:kern w:val="2"/>
          <w:sz w:val="32"/>
          <w:szCs w:val="32"/>
          <w:highlight w:val="none"/>
          <w:u w:val="none"/>
          <w:lang w:val="en-US" w:eastAsia="zh-CN" w:bidi="ar-SA"/>
        </w:rPr>
        <w:t>度</w:t>
      </w:r>
      <w:r>
        <w:rPr>
          <w:rFonts w:hint="default" w:ascii="仿宋_GB2312" w:hAnsi="仿宋_GB2312" w:eastAsia="仿宋_GB2312" w:cs="仿宋_GB2312"/>
          <w:b w:val="0"/>
          <w:bCs w:val="0"/>
          <w:color w:val="auto"/>
          <w:kern w:val="2"/>
          <w:sz w:val="32"/>
          <w:szCs w:val="32"/>
          <w:highlight w:val="none"/>
          <w:u w:val="none"/>
          <w:lang w:val="en-US" w:eastAsia="zh-CN" w:bidi="ar-SA"/>
        </w:rPr>
        <w:t>保持地方法人金融机构前列。持续开展捐资助学、扶贫帮困、慈善捐赠等公益活动</w:t>
      </w:r>
      <w:r>
        <w:rPr>
          <w:rFonts w:hint="eastAsia" w:ascii="仿宋_GB2312" w:hAnsi="仿宋_GB2312" w:eastAsia="仿宋_GB2312" w:cs="仿宋_GB2312"/>
          <w:b w:val="0"/>
          <w:bCs w:val="0"/>
          <w:color w:val="auto"/>
          <w:kern w:val="2"/>
          <w:sz w:val="32"/>
          <w:szCs w:val="32"/>
          <w:highlight w:val="none"/>
          <w:u w:val="none"/>
          <w:lang w:val="en-US" w:eastAsia="zh-CN" w:bidi="ar-SA"/>
        </w:rPr>
        <w:t>。连续19年</w:t>
      </w:r>
      <w:r>
        <w:rPr>
          <w:rFonts w:hint="eastAsia" w:ascii="仿宋_GB2312" w:hAnsi="仿宋_GB2312" w:eastAsia="仿宋_GB2312" w:cs="仿宋_GB2312"/>
          <w:sz w:val="32"/>
          <w:szCs w:val="32"/>
          <w:highlight w:val="none"/>
          <w:u w:val="none"/>
        </w:rPr>
        <w:t>开展</w:t>
      </w:r>
      <w:r>
        <w:rPr>
          <w:rFonts w:hint="eastAsia" w:ascii="仿宋_GB2312" w:hAnsi="仿宋_GB2312" w:eastAsia="仿宋_GB2312" w:cs="仿宋_GB2312"/>
          <w:sz w:val="32"/>
          <w:szCs w:val="32"/>
          <w:highlight w:val="none"/>
          <w:u w:val="none"/>
          <w:lang w:val="en-US" w:eastAsia="zh-CN"/>
        </w:rPr>
        <w:t>贫困</w:t>
      </w:r>
      <w:r>
        <w:rPr>
          <w:rFonts w:hint="eastAsia" w:ascii="仿宋_GB2312" w:hAnsi="仿宋_GB2312" w:eastAsia="仿宋_GB2312" w:cs="仿宋_GB2312"/>
          <w:sz w:val="32"/>
          <w:szCs w:val="32"/>
          <w:highlight w:val="none"/>
          <w:u w:val="none"/>
        </w:rPr>
        <w:t>大学生资助活动，帮助200多名贫困学子完成大学梦，累计资助金额312万元</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参与</w:t>
      </w:r>
      <w:r>
        <w:rPr>
          <w:rFonts w:hint="eastAsia" w:ascii="仿宋_GB2312" w:hAnsi="仿宋_GB2312" w:eastAsia="仿宋_GB2312" w:cs="仿宋_GB2312"/>
          <w:sz w:val="32"/>
          <w:szCs w:val="32"/>
          <w:highlight w:val="none"/>
          <w:u w:val="none"/>
          <w:lang w:val="en-US" w:eastAsia="zh-CN"/>
        </w:rPr>
        <w:t>联合银行</w:t>
      </w:r>
      <w:r>
        <w:rPr>
          <w:rFonts w:hint="eastAsia" w:ascii="仿宋_GB2312" w:hAnsi="仿宋_GB2312" w:eastAsia="仿宋_GB2312" w:cs="仿宋_GB2312"/>
          <w:sz w:val="32"/>
          <w:szCs w:val="32"/>
          <w:highlight w:val="none"/>
          <w:u w:val="none"/>
        </w:rPr>
        <w:t>“滴水筑梦”工程，</w:t>
      </w:r>
      <w:r>
        <w:rPr>
          <w:rFonts w:hint="eastAsia" w:ascii="仿宋_GB2312" w:hAnsi="仿宋_GB2312" w:eastAsia="仿宋_GB2312" w:cs="仿宋_GB2312"/>
          <w:sz w:val="32"/>
          <w:szCs w:val="32"/>
          <w:highlight w:val="none"/>
          <w:u w:val="none"/>
          <w:lang w:val="en-US" w:eastAsia="zh-CN"/>
        </w:rPr>
        <w:t>当年</w:t>
      </w:r>
      <w:r>
        <w:rPr>
          <w:rFonts w:hint="eastAsia" w:ascii="仿宋_GB2312" w:hAnsi="仿宋_GB2312" w:eastAsia="仿宋_GB2312" w:cs="仿宋_GB2312"/>
          <w:sz w:val="32"/>
          <w:szCs w:val="32"/>
          <w:highlight w:val="none"/>
          <w:u w:val="none"/>
        </w:rPr>
        <w:t>资助</w:t>
      </w:r>
      <w:r>
        <w:rPr>
          <w:rFonts w:hint="eastAsia" w:ascii="仿宋_GB2312" w:hAnsi="仿宋_GB2312" w:eastAsia="仿宋_GB2312" w:cs="仿宋_GB2312"/>
          <w:sz w:val="32"/>
          <w:szCs w:val="32"/>
          <w:highlight w:val="none"/>
          <w:u w:val="none"/>
          <w:lang w:val="en-US" w:eastAsia="zh-CN"/>
        </w:rPr>
        <w:t>2</w:t>
      </w:r>
      <w:r>
        <w:rPr>
          <w:rFonts w:hint="eastAsia" w:ascii="仿宋_GB2312" w:hAnsi="仿宋_GB2312" w:eastAsia="仿宋_GB2312" w:cs="仿宋_GB2312"/>
          <w:sz w:val="32"/>
          <w:szCs w:val="32"/>
          <w:highlight w:val="none"/>
          <w:u w:val="none"/>
        </w:rPr>
        <w:t>0名贫困学子</w:t>
      </w:r>
      <w:r>
        <w:rPr>
          <w:rFonts w:hint="eastAsia" w:ascii="仿宋_GB2312" w:hAnsi="仿宋_GB2312" w:eastAsia="仿宋_GB2312" w:cs="仿宋_GB2312"/>
          <w:sz w:val="32"/>
          <w:szCs w:val="32"/>
          <w:highlight w:val="none"/>
          <w:u w:val="none"/>
          <w:lang w:val="en-US" w:eastAsia="zh-CN"/>
        </w:rPr>
        <w:t>完成学业</w:t>
      </w:r>
      <w:r>
        <w:rPr>
          <w:rFonts w:hint="eastAsia" w:ascii="仿宋_GB2312" w:hAnsi="仿宋_GB2312" w:eastAsia="仿宋_GB2312" w:cs="仿宋_GB2312"/>
          <w:sz w:val="32"/>
          <w:szCs w:val="32"/>
          <w:highlight w:val="none"/>
          <w:u w:val="none"/>
        </w:rPr>
        <w:t>，资助金额</w:t>
      </w:r>
      <w:r>
        <w:rPr>
          <w:rFonts w:hint="eastAsia" w:ascii="仿宋_GB2312" w:hAnsi="仿宋_GB2312" w:eastAsia="仿宋_GB2312" w:cs="仿宋_GB2312"/>
          <w:sz w:val="32"/>
          <w:szCs w:val="32"/>
          <w:highlight w:val="none"/>
          <w:u w:val="none"/>
          <w:lang w:val="en-US" w:eastAsia="zh-CN"/>
        </w:rPr>
        <w:t>6</w:t>
      </w:r>
      <w:r>
        <w:rPr>
          <w:rFonts w:hint="eastAsia" w:ascii="仿宋_GB2312" w:hAnsi="仿宋_GB2312" w:eastAsia="仿宋_GB2312" w:cs="仿宋_GB2312"/>
          <w:sz w:val="32"/>
          <w:szCs w:val="32"/>
          <w:highlight w:val="none"/>
          <w:u w:val="none"/>
        </w:rPr>
        <w:t>万元</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按照全市富民强村工作计划，</w:t>
      </w:r>
      <w:r>
        <w:rPr>
          <w:rFonts w:hint="eastAsia" w:ascii="仿宋_GB2312" w:hAnsi="仿宋_GB2312" w:eastAsia="仿宋_GB2312" w:cs="仿宋_GB2312"/>
          <w:sz w:val="32"/>
          <w:szCs w:val="32"/>
          <w:highlight w:val="none"/>
          <w:u w:val="none"/>
          <w:lang w:val="en-US" w:eastAsia="zh-CN"/>
        </w:rPr>
        <w:t>对</w:t>
      </w:r>
      <w:r>
        <w:rPr>
          <w:rFonts w:hint="eastAsia" w:ascii="仿宋_GB2312" w:hAnsi="仿宋_GB2312" w:eastAsia="仿宋_GB2312" w:cs="仿宋_GB2312"/>
          <w:sz w:val="32"/>
          <w:szCs w:val="32"/>
          <w:highlight w:val="none"/>
          <w:u w:val="none"/>
        </w:rPr>
        <w:t>响水县黄圩镇东盛村资助金额15万元；与盐城市残疾人联合会举行党建共建暨爱心捐赠活动，捐赠金牌、善款、米、食用油等物资共计金额近20万元</w:t>
      </w:r>
      <w:r>
        <w:rPr>
          <w:rFonts w:hint="eastAsia" w:ascii="仿宋_GB2312" w:hAnsi="仿宋_GB2312" w:eastAsia="仿宋_GB2312" w:cs="仿宋_GB2312"/>
          <w:sz w:val="32"/>
          <w:szCs w:val="32"/>
          <w:highlight w:val="none"/>
          <w:u w:val="none"/>
          <w:lang w:eastAsia="zh-CN"/>
        </w:rPr>
        <w:t>。</w:t>
      </w:r>
    </w:p>
    <w:p w14:paraId="38264843">
      <w:pPr>
        <w:keepNext w:val="0"/>
        <w:keepLines w:val="0"/>
        <w:pageBreakBefore w:val="0"/>
        <w:widowControl w:val="0"/>
        <w:kinsoku/>
        <w:wordWrap/>
        <w:overflowPunct/>
        <w:topLinePunct w:val="0"/>
        <w:autoSpaceDE/>
        <w:autoSpaceDN/>
        <w:bidi w:val="0"/>
        <w:adjustRightInd/>
        <w:snapToGrid/>
        <w:spacing w:line="560" w:lineRule="exact"/>
        <w:ind w:firstLine="683" w:firstLineChars="200"/>
        <w:jc w:val="left"/>
        <w:textAlignment w:val="auto"/>
        <w:rPr>
          <w:rFonts w:hint="eastAsia" w:ascii="仿宋_GB2312" w:hAnsi="Times New Roman" w:eastAsia="仿宋_GB2312" w:cs="Times New Roman"/>
          <w:sz w:val="32"/>
          <w:szCs w:val="32"/>
        </w:rPr>
      </w:pPr>
      <w:r>
        <w:rPr>
          <w:rFonts w:hint="eastAsia" w:ascii="仿宋_GB2312" w:hAnsi="仿宋_GB2312" w:eastAsia="仿宋_GB2312" w:cs="仿宋_GB2312"/>
          <w:b/>
          <w:bCs/>
          <w:spacing w:val="10"/>
          <w:kern w:val="2"/>
          <w:sz w:val="32"/>
          <w:szCs w:val="32"/>
          <w:highlight w:val="none"/>
          <w:lang w:val="en-US" w:eastAsia="zh-CN" w:bidi="ar-SA"/>
        </w:rPr>
        <w:t>二是</w:t>
      </w:r>
      <w:r>
        <w:rPr>
          <w:rFonts w:hint="eastAsia" w:ascii="仿宋_GB2312" w:hAnsi="仿宋_GB2312" w:eastAsia="仿宋_GB2312" w:cs="仿宋_GB2312"/>
          <w:b/>
          <w:bCs/>
          <w:w w:val="95"/>
          <w:sz w:val="32"/>
          <w:szCs w:val="32"/>
          <w:shd w:val="clear" w:color="auto" w:fill="FFFFFF"/>
        </w:rPr>
        <w:t>志愿活动</w:t>
      </w:r>
      <w:r>
        <w:rPr>
          <w:rFonts w:hint="eastAsia" w:ascii="仿宋_GB2312" w:hAnsi="仿宋_GB2312" w:eastAsia="仿宋_GB2312" w:cs="仿宋_GB2312"/>
          <w:b/>
          <w:bCs/>
          <w:w w:val="95"/>
          <w:sz w:val="32"/>
          <w:szCs w:val="32"/>
          <w:shd w:val="clear" w:color="auto" w:fill="FFFFFF"/>
          <w:lang w:val="en-US" w:eastAsia="zh-CN"/>
        </w:rPr>
        <w:t>多样化</w:t>
      </w:r>
      <w:r>
        <w:rPr>
          <w:rFonts w:hint="eastAsia" w:ascii="仿宋_GB2312" w:hAnsi="仿宋_GB2312" w:eastAsia="仿宋_GB2312" w:cs="仿宋_GB2312"/>
          <w:b/>
          <w:bCs/>
          <w:w w:val="95"/>
          <w:sz w:val="32"/>
          <w:szCs w:val="32"/>
          <w:shd w:val="clear" w:color="auto" w:fill="FFFFFF"/>
          <w:lang w:eastAsia="zh-CN"/>
        </w:rPr>
        <w:t>。</w:t>
      </w:r>
      <w:r>
        <w:rPr>
          <w:rFonts w:hint="eastAsia" w:ascii="仿宋_GB2312" w:hAnsi="华文中宋" w:eastAsia="仿宋_GB2312" w:cstheme="minorBidi"/>
          <w:color w:val="auto"/>
          <w:kern w:val="2"/>
          <w:sz w:val="32"/>
          <w:szCs w:val="32"/>
          <w:highlight w:val="none"/>
          <w:lang w:val="en-US" w:eastAsia="zh-CN" w:bidi="ar-SA"/>
        </w:rPr>
        <w:t>充分激发青年员工创新创造潜能，为高质量发展贡献智慧和力量，</w:t>
      </w:r>
      <w:r>
        <w:rPr>
          <w:rFonts w:hint="eastAsia" w:ascii="仿宋_GB2312" w:hAnsi="Times New Roman" w:eastAsia="仿宋_GB2312" w:cs="Times New Roman"/>
          <w:sz w:val="32"/>
          <w:szCs w:val="32"/>
        </w:rPr>
        <w:t>充分发挥“奉献、友爱、互助、进步”的志愿精神，</w:t>
      </w:r>
      <w:r>
        <w:rPr>
          <w:rFonts w:hint="eastAsia" w:ascii="仿宋_GB2312" w:hAnsi="Times New Roman" w:eastAsia="仿宋_GB2312" w:cs="Times New Roman"/>
          <w:sz w:val="32"/>
          <w:szCs w:val="32"/>
          <w:lang w:val="en-US" w:eastAsia="zh-CN"/>
        </w:rPr>
        <w:t>积极</w:t>
      </w:r>
      <w:r>
        <w:rPr>
          <w:rFonts w:hint="eastAsia" w:ascii="仿宋_GB2312" w:hAnsi="Times New Roman" w:eastAsia="仿宋_GB2312" w:cs="Times New Roman"/>
          <w:sz w:val="32"/>
          <w:szCs w:val="32"/>
        </w:rPr>
        <w:t>投身</w:t>
      </w:r>
      <w:r>
        <w:rPr>
          <w:rFonts w:hint="eastAsia" w:ascii="仿宋_GB2312" w:hAnsi="Times New Roman" w:eastAsia="仿宋_GB2312" w:cs="Times New Roman"/>
          <w:sz w:val="32"/>
          <w:szCs w:val="32"/>
          <w:lang w:val="en-US" w:eastAsia="zh-CN"/>
        </w:rPr>
        <w:t>金融知识宣教、“一老一小”</w:t>
      </w:r>
      <w:r>
        <w:rPr>
          <w:rFonts w:hint="eastAsia" w:ascii="仿宋_GB2312" w:hAnsi="Times New Roman" w:eastAsia="仿宋_GB2312" w:cs="Times New Roman"/>
          <w:sz w:val="32"/>
          <w:szCs w:val="32"/>
        </w:rPr>
        <w:t>特殊群体</w:t>
      </w:r>
      <w:r>
        <w:rPr>
          <w:rFonts w:hint="eastAsia" w:ascii="仿宋_GB2312" w:hAnsi="Times New Roman" w:eastAsia="仿宋_GB2312" w:cs="Times New Roman"/>
          <w:sz w:val="32"/>
          <w:szCs w:val="32"/>
          <w:lang w:val="en-US" w:eastAsia="zh-CN"/>
        </w:rPr>
        <w:t>关爱</w:t>
      </w:r>
      <w:r>
        <w:rPr>
          <w:rFonts w:hint="eastAsia" w:ascii="仿宋_GB2312" w:hAnsi="Times New Roman" w:eastAsia="仿宋_GB2312" w:cs="Times New Roman"/>
          <w:sz w:val="32"/>
          <w:szCs w:val="32"/>
        </w:rPr>
        <w:t>等</w:t>
      </w:r>
      <w:r>
        <w:rPr>
          <w:rFonts w:hint="eastAsia" w:ascii="仿宋_GB2312" w:hAnsi="Times New Roman" w:eastAsia="仿宋_GB2312" w:cs="Times New Roman"/>
          <w:sz w:val="32"/>
          <w:szCs w:val="32"/>
          <w:lang w:val="en-US" w:eastAsia="zh-CN"/>
        </w:rPr>
        <w:t>各类</w:t>
      </w:r>
      <w:r>
        <w:rPr>
          <w:rFonts w:hint="eastAsia" w:ascii="仿宋_GB2312" w:hAnsi="Times New Roman" w:eastAsia="仿宋_GB2312" w:cs="Times New Roman"/>
          <w:sz w:val="32"/>
          <w:szCs w:val="32"/>
        </w:rPr>
        <w:t>活动，为社会奉献爱心，传递正能量。</w:t>
      </w:r>
    </w:p>
    <w:p w14:paraId="63CC580B">
      <w:pPr>
        <w:pStyle w:val="16"/>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rPr>
      </w:pPr>
      <w:r>
        <w:rPr>
          <w:rFonts w:hint="eastAsia" w:ascii="仿宋_GB2312" w:hAnsi="仿宋_GB2312" w:eastAsia="仿宋_GB2312" w:cs="仿宋_GB2312"/>
          <w:b/>
          <w:bCs/>
          <w:kern w:val="2"/>
          <w:sz w:val="32"/>
          <w:szCs w:val="32"/>
          <w:highlight w:val="none"/>
          <w:lang w:val="en-US" w:eastAsia="zh-CN" w:bidi="ar-SA"/>
        </w:rPr>
        <w:t>三是</w:t>
      </w:r>
      <w:r>
        <w:rPr>
          <w:rFonts w:hint="default" w:ascii="仿宋_GB2312" w:hAnsi="仿宋_GB2312" w:eastAsia="仿宋_GB2312" w:cs="仿宋_GB2312"/>
          <w:b/>
          <w:bCs/>
          <w:color w:val="auto"/>
          <w:kern w:val="2"/>
          <w:sz w:val="32"/>
          <w:szCs w:val="32"/>
          <w:highlight w:val="none"/>
          <w:u w:val="none"/>
          <w:lang w:val="en-US" w:eastAsia="zh-CN" w:bidi="ar-SA"/>
        </w:rPr>
        <w:t>企业文化</w:t>
      </w:r>
      <w:r>
        <w:rPr>
          <w:rFonts w:hint="eastAsia" w:ascii="仿宋_GB2312" w:hAnsi="仿宋_GB2312" w:eastAsia="仿宋_GB2312" w:cs="仿宋_GB2312"/>
          <w:b/>
          <w:bCs/>
          <w:color w:val="auto"/>
          <w:kern w:val="2"/>
          <w:sz w:val="32"/>
          <w:szCs w:val="32"/>
          <w:highlight w:val="none"/>
          <w:u w:val="none"/>
          <w:lang w:val="en-US" w:eastAsia="zh-CN" w:bidi="ar-SA"/>
        </w:rPr>
        <w:t>体系化</w:t>
      </w:r>
      <w:r>
        <w:rPr>
          <w:rFonts w:hint="default" w:ascii="仿宋_GB2312" w:hAnsi="仿宋_GB2312" w:eastAsia="仿宋_GB2312" w:cs="仿宋_GB2312"/>
          <w:b/>
          <w:bCs/>
          <w:color w:val="auto"/>
          <w:kern w:val="2"/>
          <w:sz w:val="32"/>
          <w:szCs w:val="32"/>
          <w:highlight w:val="none"/>
          <w:u w:val="none"/>
          <w:lang w:val="en-US" w:eastAsia="zh-CN" w:bidi="ar-SA"/>
        </w:rPr>
        <w:t>。</w:t>
      </w:r>
      <w:r>
        <w:rPr>
          <w:rFonts w:hint="eastAsia" w:ascii="仿宋_GB2312" w:hAnsi="仿宋_GB2312" w:eastAsia="仿宋_GB2312" w:cs="仿宋_GB2312"/>
          <w:b w:val="0"/>
          <w:bCs w:val="0"/>
          <w:color w:val="auto"/>
          <w:kern w:val="2"/>
          <w:sz w:val="32"/>
          <w:szCs w:val="32"/>
          <w:highlight w:val="none"/>
          <w:u w:val="none"/>
          <w:lang w:val="en-US" w:eastAsia="zh-CN" w:bidi="ar-SA"/>
        </w:rPr>
        <w:t>以联合银行党建品牌为指引，充分构思提出“立己达人”企业文化品牌，</w:t>
      </w:r>
      <w:r>
        <w:rPr>
          <w:rFonts w:hint="default" w:ascii="仿宋_GB2312" w:hAnsi="仿宋_GB2312" w:eastAsia="仿宋_GB2312" w:cs="仿宋_GB2312"/>
          <w:b w:val="0"/>
          <w:bCs w:val="0"/>
          <w:color w:val="auto"/>
          <w:kern w:val="2"/>
          <w:sz w:val="32"/>
          <w:szCs w:val="32"/>
          <w:highlight w:val="none"/>
          <w:u w:val="none"/>
          <w:lang w:val="en-US" w:eastAsia="zh-CN" w:bidi="ar-SA"/>
        </w:rPr>
        <w:t>初步构建涵盖信贷、合规、清廉、家园等子文化的文化体系。举办</w:t>
      </w:r>
      <w:r>
        <w:rPr>
          <w:rFonts w:hint="eastAsia" w:ascii="仿宋_GB2312" w:hAnsi="仿宋_GB2312" w:eastAsia="仿宋_GB2312" w:cs="仿宋_GB2312"/>
          <w:b w:val="0"/>
          <w:bCs w:val="0"/>
          <w:color w:val="auto"/>
          <w:kern w:val="2"/>
          <w:sz w:val="32"/>
          <w:szCs w:val="32"/>
          <w:highlight w:val="none"/>
          <w:u w:val="none"/>
          <w:lang w:val="en-US" w:eastAsia="zh-CN" w:bidi="ar-SA"/>
        </w:rPr>
        <w:t>“十周年行庆”征文比赛、</w:t>
      </w:r>
      <w:r>
        <w:rPr>
          <w:rFonts w:hint="default" w:ascii="仿宋_GB2312" w:hAnsi="仿宋_GB2312" w:eastAsia="仿宋_GB2312" w:cs="仿宋_GB2312"/>
          <w:b w:val="0"/>
          <w:bCs w:val="0"/>
          <w:color w:val="auto"/>
          <w:kern w:val="2"/>
          <w:sz w:val="32"/>
          <w:szCs w:val="32"/>
          <w:highlight w:val="none"/>
          <w:u w:val="none"/>
          <w:lang w:val="en-US" w:eastAsia="zh-CN" w:bidi="ar-SA"/>
        </w:rPr>
        <w:t>“金融铁军”</w:t>
      </w:r>
      <w:r>
        <w:rPr>
          <w:rFonts w:hint="eastAsia" w:ascii="仿宋_GB2312" w:hAnsi="仿宋_GB2312" w:eastAsia="仿宋_GB2312" w:cs="仿宋_GB2312"/>
          <w:b w:val="0"/>
          <w:bCs w:val="0"/>
          <w:color w:val="auto"/>
          <w:kern w:val="2"/>
          <w:sz w:val="32"/>
          <w:szCs w:val="32"/>
          <w:highlight w:val="none"/>
          <w:u w:val="none"/>
          <w:lang w:val="en-US" w:eastAsia="zh-CN" w:bidi="ar-SA"/>
        </w:rPr>
        <w:t>踏青</w:t>
      </w:r>
      <w:r>
        <w:rPr>
          <w:rFonts w:hint="default" w:ascii="仿宋_GB2312" w:hAnsi="仿宋_GB2312" w:eastAsia="仿宋_GB2312" w:cs="仿宋_GB2312"/>
          <w:b w:val="0"/>
          <w:bCs w:val="0"/>
          <w:color w:val="auto"/>
          <w:kern w:val="2"/>
          <w:sz w:val="32"/>
          <w:szCs w:val="32"/>
          <w:highlight w:val="none"/>
          <w:u w:val="none"/>
          <w:lang w:val="en-US" w:eastAsia="zh-CN" w:bidi="ar-SA"/>
        </w:rPr>
        <w:t>等活动，凝聚奋进力量。</w:t>
      </w:r>
      <w:r>
        <w:rPr>
          <w:rFonts w:hint="eastAsia" w:ascii="仿宋_GB2312" w:hAnsi="仿宋_GB2312" w:eastAsia="仿宋_GB2312" w:cs="仿宋_GB2312"/>
          <w:b w:val="0"/>
          <w:bCs w:val="0"/>
          <w:color w:val="auto"/>
          <w:kern w:val="2"/>
          <w:sz w:val="32"/>
          <w:szCs w:val="32"/>
          <w:highlight w:val="none"/>
          <w:u w:val="none"/>
          <w:lang w:val="en-US" w:eastAsia="zh-CN" w:bidi="ar-SA"/>
        </w:rPr>
        <w:t>连续两年开展“铁军先锋”评选，2025年选树优秀党组织10个、优秀党员55名</w:t>
      </w:r>
      <w:r>
        <w:rPr>
          <w:rFonts w:hint="eastAsia" w:ascii="仿宋_GB2312" w:hAnsi="仿宋_GB2312" w:eastAsia="仿宋_GB2312" w:cs="仿宋_GB2312"/>
          <w:b w:val="0"/>
          <w:bCs w:val="0"/>
          <w:kern w:val="2"/>
          <w:sz w:val="32"/>
          <w:szCs w:val="32"/>
          <w:highlight w:val="none"/>
          <w:lang w:val="en-US" w:eastAsia="zh-CN" w:bidi="ar-SA"/>
        </w:rPr>
        <w:t>。</w:t>
      </w:r>
    </w:p>
    <w:p w14:paraId="4BAF17C0">
      <w:pPr>
        <w:pStyle w:val="19"/>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仿宋"/>
          <w:spacing w:val="0"/>
          <w:kern w:val="2"/>
          <w:sz w:val="32"/>
          <w:szCs w:val="32"/>
          <w:lang w:val="en-US" w:eastAsia="zh-CN" w:bidi="ar-SA"/>
        </w:rPr>
      </w:pPr>
      <w:bookmarkStart w:id="0" w:name="_GoBack"/>
      <w:bookmarkEnd w:id="0"/>
      <w:r>
        <w:rPr>
          <w:rFonts w:hint="eastAsia" w:ascii="仿宋_GB2312" w:hAnsi="仿宋" w:eastAsia="仿宋_GB2312" w:cs="仿宋"/>
          <w:spacing w:val="0"/>
          <w:kern w:val="2"/>
          <w:sz w:val="32"/>
          <w:szCs w:val="32"/>
          <w:lang w:val="en-US" w:eastAsia="zh-CN" w:bidi="ar-SA"/>
        </w:rPr>
        <w:t>特具报告。</w:t>
      </w:r>
    </w:p>
    <w:p w14:paraId="46877211">
      <w:pPr>
        <w:pStyle w:val="2"/>
        <w:rPr>
          <w:rFonts w:hint="eastAsia" w:ascii="仿宋_GB2312" w:hAnsi="仿宋" w:cs="仿宋"/>
          <w:sz w:val="32"/>
          <w:szCs w:val="32"/>
          <w:lang w:val="en-US" w:eastAsia="zh-CN"/>
        </w:rPr>
      </w:pPr>
    </w:p>
    <w:p w14:paraId="11A2326B">
      <w:pPr>
        <w:pStyle w:val="3"/>
        <w:rPr>
          <w:rFonts w:hint="eastAsia" w:ascii="仿宋_GB2312" w:hAnsi="仿宋" w:cs="仿宋"/>
          <w:sz w:val="32"/>
          <w:szCs w:val="32"/>
          <w:lang w:val="en-US" w:eastAsia="zh-CN"/>
        </w:rPr>
      </w:pPr>
    </w:p>
    <w:p w14:paraId="76D665A5">
      <w:pPr>
        <w:pStyle w:val="3"/>
        <w:jc w:val="both"/>
        <w:rPr>
          <w:rFonts w:hint="eastAsia" w:ascii="仿宋_GB2312" w:hAnsi="仿宋" w:cs="仿宋"/>
          <w:sz w:val="32"/>
          <w:szCs w:val="32"/>
          <w:lang w:val="en-US" w:eastAsia="zh-CN"/>
        </w:rPr>
      </w:pPr>
    </w:p>
    <w:p w14:paraId="28E69A8C">
      <w:pPr>
        <w:pStyle w:val="3"/>
        <w:keepNext w:val="0"/>
        <w:keepLines w:val="0"/>
        <w:pageBreakBefore w:val="0"/>
        <w:widowControl w:val="0"/>
        <w:kinsoku/>
        <w:wordWrap/>
        <w:overflowPunct/>
        <w:topLinePunct w:val="0"/>
        <w:autoSpaceDE/>
        <w:autoSpaceDN/>
        <w:bidi w:val="0"/>
        <w:adjustRightInd/>
        <w:snapToGrid/>
        <w:spacing w:after="0" w:line="560" w:lineRule="exact"/>
        <w:ind w:firstLine="2560" w:firstLineChars="800"/>
        <w:jc w:val="both"/>
        <w:textAlignment w:val="auto"/>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江苏盐城农村商业银行股份有限公司</w:t>
      </w:r>
    </w:p>
    <w:p w14:paraId="5689BCA3">
      <w:pPr>
        <w:pStyle w:val="3"/>
        <w:keepNext w:val="0"/>
        <w:keepLines w:val="0"/>
        <w:pageBreakBefore w:val="0"/>
        <w:widowControl w:val="0"/>
        <w:kinsoku/>
        <w:wordWrap/>
        <w:overflowPunct/>
        <w:topLinePunct w:val="0"/>
        <w:autoSpaceDE/>
        <w:autoSpaceDN/>
        <w:bidi w:val="0"/>
        <w:adjustRightInd/>
        <w:snapToGrid/>
        <w:spacing w:after="0" w:line="560" w:lineRule="exact"/>
        <w:ind w:firstLine="4160" w:firstLineChars="1300"/>
        <w:jc w:val="both"/>
        <w:textAlignment w:val="auto"/>
        <w:rPr>
          <w:rFonts w:hint="default"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2026年3月10日</w:t>
      </w:r>
    </w:p>
    <w:p w14:paraId="0E97ECDB"/>
    <w:sectPr>
      <w:footerReference r:id="rId3" w:type="default"/>
      <w:pgSz w:w="11906" w:h="16838"/>
      <w:pgMar w:top="2098"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36043">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9B5F03">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9B5F03">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3NDYxMmZiMmU3ODQ4OWE5ODVkMTU2MTBiMTQwNTQifQ=="/>
  </w:docVars>
  <w:rsids>
    <w:rsidRoot w:val="361E32B5"/>
    <w:rsid w:val="00135135"/>
    <w:rsid w:val="00280CB1"/>
    <w:rsid w:val="00694DDB"/>
    <w:rsid w:val="00790A4B"/>
    <w:rsid w:val="00C4415E"/>
    <w:rsid w:val="010E607A"/>
    <w:rsid w:val="014E3631"/>
    <w:rsid w:val="01534DD6"/>
    <w:rsid w:val="01A3681D"/>
    <w:rsid w:val="01BF3BCD"/>
    <w:rsid w:val="02181EB1"/>
    <w:rsid w:val="023348B9"/>
    <w:rsid w:val="02C3023C"/>
    <w:rsid w:val="02E57897"/>
    <w:rsid w:val="030B5512"/>
    <w:rsid w:val="03310E80"/>
    <w:rsid w:val="03460D52"/>
    <w:rsid w:val="034A1E06"/>
    <w:rsid w:val="03684017"/>
    <w:rsid w:val="03905BDA"/>
    <w:rsid w:val="03B04577"/>
    <w:rsid w:val="03B8789B"/>
    <w:rsid w:val="043A35C6"/>
    <w:rsid w:val="047551C2"/>
    <w:rsid w:val="0487587A"/>
    <w:rsid w:val="049B2AF2"/>
    <w:rsid w:val="04BE1DF4"/>
    <w:rsid w:val="04F67267"/>
    <w:rsid w:val="05D51387"/>
    <w:rsid w:val="060A6FDB"/>
    <w:rsid w:val="060F33ED"/>
    <w:rsid w:val="064F4788"/>
    <w:rsid w:val="067A7AC5"/>
    <w:rsid w:val="068A3C77"/>
    <w:rsid w:val="072804DC"/>
    <w:rsid w:val="072B1A5A"/>
    <w:rsid w:val="074A11DB"/>
    <w:rsid w:val="07807B8F"/>
    <w:rsid w:val="07C603D5"/>
    <w:rsid w:val="07EC6998"/>
    <w:rsid w:val="084747A3"/>
    <w:rsid w:val="08686945"/>
    <w:rsid w:val="08D021C0"/>
    <w:rsid w:val="09121B88"/>
    <w:rsid w:val="0955288A"/>
    <w:rsid w:val="098A1EFF"/>
    <w:rsid w:val="09A24042"/>
    <w:rsid w:val="09B45E0A"/>
    <w:rsid w:val="0A1759D8"/>
    <w:rsid w:val="0A217A66"/>
    <w:rsid w:val="0A350643"/>
    <w:rsid w:val="0A812AB9"/>
    <w:rsid w:val="0A8975DB"/>
    <w:rsid w:val="0AA35339"/>
    <w:rsid w:val="0AAE6F26"/>
    <w:rsid w:val="0AB2250D"/>
    <w:rsid w:val="0B177D5F"/>
    <w:rsid w:val="0B1F032B"/>
    <w:rsid w:val="0B2A080B"/>
    <w:rsid w:val="0B615D0C"/>
    <w:rsid w:val="0BB05484"/>
    <w:rsid w:val="0BEE17B2"/>
    <w:rsid w:val="0C3A329F"/>
    <w:rsid w:val="0C536F95"/>
    <w:rsid w:val="0C5C2A0D"/>
    <w:rsid w:val="0C8F4DFD"/>
    <w:rsid w:val="0CA81832"/>
    <w:rsid w:val="0D040047"/>
    <w:rsid w:val="0D115E03"/>
    <w:rsid w:val="0D1A189A"/>
    <w:rsid w:val="0D565433"/>
    <w:rsid w:val="0D815DD4"/>
    <w:rsid w:val="0D8C703C"/>
    <w:rsid w:val="0DAB7BD0"/>
    <w:rsid w:val="0DBD5957"/>
    <w:rsid w:val="0DC43D3A"/>
    <w:rsid w:val="0E0455C5"/>
    <w:rsid w:val="0E215B49"/>
    <w:rsid w:val="0E2C3FE2"/>
    <w:rsid w:val="0E807DF1"/>
    <w:rsid w:val="0EE608E3"/>
    <w:rsid w:val="0F1233D8"/>
    <w:rsid w:val="0F3831F9"/>
    <w:rsid w:val="0FE73388"/>
    <w:rsid w:val="0FEE2A5D"/>
    <w:rsid w:val="109B213B"/>
    <w:rsid w:val="10C60591"/>
    <w:rsid w:val="10F86200"/>
    <w:rsid w:val="11314F0C"/>
    <w:rsid w:val="11DF756D"/>
    <w:rsid w:val="11F53124"/>
    <w:rsid w:val="125E65ED"/>
    <w:rsid w:val="12BE1B8B"/>
    <w:rsid w:val="12D351A4"/>
    <w:rsid w:val="12E66FC8"/>
    <w:rsid w:val="12F80F62"/>
    <w:rsid w:val="13073CCE"/>
    <w:rsid w:val="131F5854"/>
    <w:rsid w:val="133B2634"/>
    <w:rsid w:val="13502B1D"/>
    <w:rsid w:val="136610A9"/>
    <w:rsid w:val="136A0DD2"/>
    <w:rsid w:val="140E4D36"/>
    <w:rsid w:val="141A29C4"/>
    <w:rsid w:val="144E24C5"/>
    <w:rsid w:val="147D5456"/>
    <w:rsid w:val="14A72B38"/>
    <w:rsid w:val="14A95F75"/>
    <w:rsid w:val="14E302AF"/>
    <w:rsid w:val="14E46B5B"/>
    <w:rsid w:val="15246DA2"/>
    <w:rsid w:val="15EB7A93"/>
    <w:rsid w:val="15EE1265"/>
    <w:rsid w:val="16A55CC4"/>
    <w:rsid w:val="16B80AD5"/>
    <w:rsid w:val="16E80C72"/>
    <w:rsid w:val="16EB47C9"/>
    <w:rsid w:val="17283764"/>
    <w:rsid w:val="17A5754C"/>
    <w:rsid w:val="17A94305"/>
    <w:rsid w:val="17AD359E"/>
    <w:rsid w:val="17BC1A79"/>
    <w:rsid w:val="18C26A4E"/>
    <w:rsid w:val="18C3597D"/>
    <w:rsid w:val="18CD1DB7"/>
    <w:rsid w:val="18FA566F"/>
    <w:rsid w:val="19070D54"/>
    <w:rsid w:val="196842EC"/>
    <w:rsid w:val="19737C28"/>
    <w:rsid w:val="1A393EDF"/>
    <w:rsid w:val="1A461D75"/>
    <w:rsid w:val="1A5A57FA"/>
    <w:rsid w:val="1A663102"/>
    <w:rsid w:val="1A6A3721"/>
    <w:rsid w:val="1A9A6CB3"/>
    <w:rsid w:val="1B033CBF"/>
    <w:rsid w:val="1B4901D4"/>
    <w:rsid w:val="1B557816"/>
    <w:rsid w:val="1B573B26"/>
    <w:rsid w:val="1B5B7FF3"/>
    <w:rsid w:val="1BE4151A"/>
    <w:rsid w:val="1C2135B1"/>
    <w:rsid w:val="1C870A76"/>
    <w:rsid w:val="1C8F47BD"/>
    <w:rsid w:val="1CB13D1B"/>
    <w:rsid w:val="1CBC2CAC"/>
    <w:rsid w:val="1CBC4A8C"/>
    <w:rsid w:val="1CCE05ED"/>
    <w:rsid w:val="1CFA7147"/>
    <w:rsid w:val="1D2A5EA4"/>
    <w:rsid w:val="1D3E06EA"/>
    <w:rsid w:val="1D6D33E1"/>
    <w:rsid w:val="1D984357"/>
    <w:rsid w:val="1DB267F3"/>
    <w:rsid w:val="1DBE5B73"/>
    <w:rsid w:val="1E175E06"/>
    <w:rsid w:val="1E3D19C4"/>
    <w:rsid w:val="1E532CA5"/>
    <w:rsid w:val="1E9D2342"/>
    <w:rsid w:val="1EFC4755"/>
    <w:rsid w:val="1F130856"/>
    <w:rsid w:val="1F202BEF"/>
    <w:rsid w:val="1F3B576A"/>
    <w:rsid w:val="1F8F64FF"/>
    <w:rsid w:val="1F982132"/>
    <w:rsid w:val="1FB67CAD"/>
    <w:rsid w:val="1FB808DF"/>
    <w:rsid w:val="1FC544BC"/>
    <w:rsid w:val="1FE93E3C"/>
    <w:rsid w:val="1FF10780"/>
    <w:rsid w:val="20207C0E"/>
    <w:rsid w:val="2058178A"/>
    <w:rsid w:val="205F1C98"/>
    <w:rsid w:val="20AA51EA"/>
    <w:rsid w:val="20D848C6"/>
    <w:rsid w:val="20F32961"/>
    <w:rsid w:val="20F83CF0"/>
    <w:rsid w:val="21475751"/>
    <w:rsid w:val="21E10E32"/>
    <w:rsid w:val="21E843F5"/>
    <w:rsid w:val="220A4192"/>
    <w:rsid w:val="22124405"/>
    <w:rsid w:val="224B0A33"/>
    <w:rsid w:val="229C59F0"/>
    <w:rsid w:val="22E50A22"/>
    <w:rsid w:val="230E633D"/>
    <w:rsid w:val="2314408E"/>
    <w:rsid w:val="23353491"/>
    <w:rsid w:val="235475EB"/>
    <w:rsid w:val="236C6857"/>
    <w:rsid w:val="23AD25A1"/>
    <w:rsid w:val="23E76CEE"/>
    <w:rsid w:val="242D149B"/>
    <w:rsid w:val="24792117"/>
    <w:rsid w:val="24D74279"/>
    <w:rsid w:val="24F12C0A"/>
    <w:rsid w:val="25B9415D"/>
    <w:rsid w:val="25E76599"/>
    <w:rsid w:val="25FE7715"/>
    <w:rsid w:val="260F7FFD"/>
    <w:rsid w:val="261A45EC"/>
    <w:rsid w:val="26216D9C"/>
    <w:rsid w:val="26945739"/>
    <w:rsid w:val="26F9624C"/>
    <w:rsid w:val="2733115F"/>
    <w:rsid w:val="273B17F1"/>
    <w:rsid w:val="27625571"/>
    <w:rsid w:val="27714AA4"/>
    <w:rsid w:val="27B626AB"/>
    <w:rsid w:val="27F520A3"/>
    <w:rsid w:val="28063134"/>
    <w:rsid w:val="283310CF"/>
    <w:rsid w:val="28510EC6"/>
    <w:rsid w:val="28765FE7"/>
    <w:rsid w:val="29245656"/>
    <w:rsid w:val="295A6340"/>
    <w:rsid w:val="298966F7"/>
    <w:rsid w:val="29BE37E6"/>
    <w:rsid w:val="29DA7FA4"/>
    <w:rsid w:val="2A2E5621"/>
    <w:rsid w:val="2A394A13"/>
    <w:rsid w:val="2A8144A9"/>
    <w:rsid w:val="2AB36130"/>
    <w:rsid w:val="2B2C0B17"/>
    <w:rsid w:val="2B606B86"/>
    <w:rsid w:val="2B6A2F90"/>
    <w:rsid w:val="2BC571B8"/>
    <w:rsid w:val="2BD21ED3"/>
    <w:rsid w:val="2BD261C6"/>
    <w:rsid w:val="2C170EEA"/>
    <w:rsid w:val="2C7E1352"/>
    <w:rsid w:val="2CA0538E"/>
    <w:rsid w:val="2CEC3406"/>
    <w:rsid w:val="2D2B1461"/>
    <w:rsid w:val="2E001E30"/>
    <w:rsid w:val="2E174893"/>
    <w:rsid w:val="2E4C39F0"/>
    <w:rsid w:val="2E7C01C6"/>
    <w:rsid w:val="2E855CA8"/>
    <w:rsid w:val="2EE16C47"/>
    <w:rsid w:val="2EE22507"/>
    <w:rsid w:val="2F377CAB"/>
    <w:rsid w:val="2F38200D"/>
    <w:rsid w:val="2F422C77"/>
    <w:rsid w:val="2FC9776E"/>
    <w:rsid w:val="2FD71012"/>
    <w:rsid w:val="300D3318"/>
    <w:rsid w:val="30787A1D"/>
    <w:rsid w:val="30CA70E7"/>
    <w:rsid w:val="30F304E8"/>
    <w:rsid w:val="31351F8B"/>
    <w:rsid w:val="31386484"/>
    <w:rsid w:val="31AB3279"/>
    <w:rsid w:val="31AD09E7"/>
    <w:rsid w:val="31B82B92"/>
    <w:rsid w:val="31E31D32"/>
    <w:rsid w:val="31F92159"/>
    <w:rsid w:val="323F5C0A"/>
    <w:rsid w:val="323F78D8"/>
    <w:rsid w:val="32634621"/>
    <w:rsid w:val="32755A84"/>
    <w:rsid w:val="32760351"/>
    <w:rsid w:val="327D5892"/>
    <w:rsid w:val="327F4693"/>
    <w:rsid w:val="32A6125C"/>
    <w:rsid w:val="32C47767"/>
    <w:rsid w:val="332C33C8"/>
    <w:rsid w:val="333F3BF7"/>
    <w:rsid w:val="334C0C8A"/>
    <w:rsid w:val="336A0AB7"/>
    <w:rsid w:val="33811961"/>
    <w:rsid w:val="33F66290"/>
    <w:rsid w:val="34250C9C"/>
    <w:rsid w:val="348778C5"/>
    <w:rsid w:val="34A21E55"/>
    <w:rsid w:val="34B97D62"/>
    <w:rsid w:val="34BB3F34"/>
    <w:rsid w:val="34CC52D7"/>
    <w:rsid w:val="34E95323"/>
    <w:rsid w:val="357D65A4"/>
    <w:rsid w:val="35A43134"/>
    <w:rsid w:val="361E32B5"/>
    <w:rsid w:val="362B0F63"/>
    <w:rsid w:val="363D7231"/>
    <w:rsid w:val="365B5565"/>
    <w:rsid w:val="368A363B"/>
    <w:rsid w:val="36AA08B5"/>
    <w:rsid w:val="36B6120C"/>
    <w:rsid w:val="36BC0F1D"/>
    <w:rsid w:val="36C07F15"/>
    <w:rsid w:val="36DE32DB"/>
    <w:rsid w:val="374A2527"/>
    <w:rsid w:val="37654156"/>
    <w:rsid w:val="377C0A04"/>
    <w:rsid w:val="379505D9"/>
    <w:rsid w:val="379D0687"/>
    <w:rsid w:val="37DC516A"/>
    <w:rsid w:val="37ED0611"/>
    <w:rsid w:val="37F7298C"/>
    <w:rsid w:val="385E4E87"/>
    <w:rsid w:val="386B4DA8"/>
    <w:rsid w:val="386C3940"/>
    <w:rsid w:val="399D35AC"/>
    <w:rsid w:val="39CB2B5D"/>
    <w:rsid w:val="39CE20E4"/>
    <w:rsid w:val="3A842E17"/>
    <w:rsid w:val="3AE43F5E"/>
    <w:rsid w:val="3B227EB7"/>
    <w:rsid w:val="3B374193"/>
    <w:rsid w:val="3B4445B5"/>
    <w:rsid w:val="3B4A7456"/>
    <w:rsid w:val="3B566C8B"/>
    <w:rsid w:val="3B5A3319"/>
    <w:rsid w:val="3B807BD6"/>
    <w:rsid w:val="3C6D7DE4"/>
    <w:rsid w:val="3C752529"/>
    <w:rsid w:val="3C83103C"/>
    <w:rsid w:val="3CA80015"/>
    <w:rsid w:val="3CA9014B"/>
    <w:rsid w:val="3CBB0487"/>
    <w:rsid w:val="3CBC1AA8"/>
    <w:rsid w:val="3D235F44"/>
    <w:rsid w:val="3D304CAE"/>
    <w:rsid w:val="3DC74076"/>
    <w:rsid w:val="3DCF240E"/>
    <w:rsid w:val="3DE9517B"/>
    <w:rsid w:val="3E1351B0"/>
    <w:rsid w:val="3E607B42"/>
    <w:rsid w:val="3E6A2CAF"/>
    <w:rsid w:val="3E94025A"/>
    <w:rsid w:val="3E957658"/>
    <w:rsid w:val="3EC667C5"/>
    <w:rsid w:val="3ED100BA"/>
    <w:rsid w:val="3F010273"/>
    <w:rsid w:val="3F0A54CD"/>
    <w:rsid w:val="3F171845"/>
    <w:rsid w:val="3F3B39B2"/>
    <w:rsid w:val="3F4168C2"/>
    <w:rsid w:val="3F8A6747"/>
    <w:rsid w:val="3FA402D6"/>
    <w:rsid w:val="3FB46CC6"/>
    <w:rsid w:val="40087305"/>
    <w:rsid w:val="403B25A9"/>
    <w:rsid w:val="403C702C"/>
    <w:rsid w:val="40506275"/>
    <w:rsid w:val="406C30E0"/>
    <w:rsid w:val="407225B8"/>
    <w:rsid w:val="408B5426"/>
    <w:rsid w:val="40B9788D"/>
    <w:rsid w:val="40C7623D"/>
    <w:rsid w:val="40F25866"/>
    <w:rsid w:val="41072993"/>
    <w:rsid w:val="41210759"/>
    <w:rsid w:val="41311DCE"/>
    <w:rsid w:val="41480C36"/>
    <w:rsid w:val="419C70B2"/>
    <w:rsid w:val="41DA711D"/>
    <w:rsid w:val="41FB5723"/>
    <w:rsid w:val="427F7828"/>
    <w:rsid w:val="429808CC"/>
    <w:rsid w:val="42AB582D"/>
    <w:rsid w:val="42AC619D"/>
    <w:rsid w:val="4309165A"/>
    <w:rsid w:val="430D7867"/>
    <w:rsid w:val="43184797"/>
    <w:rsid w:val="43390029"/>
    <w:rsid w:val="439169CA"/>
    <w:rsid w:val="43AE4FD5"/>
    <w:rsid w:val="43E1582E"/>
    <w:rsid w:val="448B6D05"/>
    <w:rsid w:val="44916AF6"/>
    <w:rsid w:val="44954A6E"/>
    <w:rsid w:val="449E7DE0"/>
    <w:rsid w:val="44EB7DCF"/>
    <w:rsid w:val="45054EBE"/>
    <w:rsid w:val="45091BC1"/>
    <w:rsid w:val="457C2EC7"/>
    <w:rsid w:val="45E408DF"/>
    <w:rsid w:val="45EB4A87"/>
    <w:rsid w:val="45F81A6F"/>
    <w:rsid w:val="45FB4C9E"/>
    <w:rsid w:val="4614653F"/>
    <w:rsid w:val="46271597"/>
    <w:rsid w:val="463677D9"/>
    <w:rsid w:val="467966D7"/>
    <w:rsid w:val="468F47A5"/>
    <w:rsid w:val="46B11FCD"/>
    <w:rsid w:val="47362E5A"/>
    <w:rsid w:val="47A77F56"/>
    <w:rsid w:val="47B36637"/>
    <w:rsid w:val="47BA0503"/>
    <w:rsid w:val="47DF3547"/>
    <w:rsid w:val="48091BF2"/>
    <w:rsid w:val="4828000F"/>
    <w:rsid w:val="48312821"/>
    <w:rsid w:val="48385319"/>
    <w:rsid w:val="489055A0"/>
    <w:rsid w:val="49063942"/>
    <w:rsid w:val="498078B1"/>
    <w:rsid w:val="49AC1C72"/>
    <w:rsid w:val="49FC633D"/>
    <w:rsid w:val="4A1E645A"/>
    <w:rsid w:val="4A490CF0"/>
    <w:rsid w:val="4A532973"/>
    <w:rsid w:val="4AD7089D"/>
    <w:rsid w:val="4AD75943"/>
    <w:rsid w:val="4AE606E8"/>
    <w:rsid w:val="4B1D0A9B"/>
    <w:rsid w:val="4B48530C"/>
    <w:rsid w:val="4B5C0E10"/>
    <w:rsid w:val="4BAA1851"/>
    <w:rsid w:val="4C23525D"/>
    <w:rsid w:val="4C406CB8"/>
    <w:rsid w:val="4C445F87"/>
    <w:rsid w:val="4C4A123D"/>
    <w:rsid w:val="4CA930A9"/>
    <w:rsid w:val="4CB8504E"/>
    <w:rsid w:val="4CD47885"/>
    <w:rsid w:val="4D0B5DCE"/>
    <w:rsid w:val="4D283288"/>
    <w:rsid w:val="4DAD6FF5"/>
    <w:rsid w:val="4DB15121"/>
    <w:rsid w:val="4DB93CDB"/>
    <w:rsid w:val="4DC35E5F"/>
    <w:rsid w:val="4DD21492"/>
    <w:rsid w:val="4DEB468D"/>
    <w:rsid w:val="4E173263"/>
    <w:rsid w:val="4E4B393C"/>
    <w:rsid w:val="4E7E27E5"/>
    <w:rsid w:val="4E7F77C4"/>
    <w:rsid w:val="4EFC7443"/>
    <w:rsid w:val="4F135489"/>
    <w:rsid w:val="4F1B2C8C"/>
    <w:rsid w:val="4F215091"/>
    <w:rsid w:val="4F577C7D"/>
    <w:rsid w:val="4F730D1A"/>
    <w:rsid w:val="4FB70C06"/>
    <w:rsid w:val="50025D72"/>
    <w:rsid w:val="500D00BC"/>
    <w:rsid w:val="50312BFD"/>
    <w:rsid w:val="50563E56"/>
    <w:rsid w:val="50B4396D"/>
    <w:rsid w:val="50D55E6A"/>
    <w:rsid w:val="50EA0B67"/>
    <w:rsid w:val="5128452F"/>
    <w:rsid w:val="515C616B"/>
    <w:rsid w:val="51B96C41"/>
    <w:rsid w:val="51CB05E9"/>
    <w:rsid w:val="52515F5D"/>
    <w:rsid w:val="52692B1B"/>
    <w:rsid w:val="5292759F"/>
    <w:rsid w:val="53042E90"/>
    <w:rsid w:val="53387905"/>
    <w:rsid w:val="53914D23"/>
    <w:rsid w:val="53A47AC2"/>
    <w:rsid w:val="53AF689B"/>
    <w:rsid w:val="53B37B47"/>
    <w:rsid w:val="540351AF"/>
    <w:rsid w:val="54714786"/>
    <w:rsid w:val="5474633D"/>
    <w:rsid w:val="548C106B"/>
    <w:rsid w:val="54B425BF"/>
    <w:rsid w:val="551410A4"/>
    <w:rsid w:val="556C5FEF"/>
    <w:rsid w:val="55A65AA1"/>
    <w:rsid w:val="55EF1FC8"/>
    <w:rsid w:val="55FF2F05"/>
    <w:rsid w:val="56071D19"/>
    <w:rsid w:val="56147421"/>
    <w:rsid w:val="562F0A6D"/>
    <w:rsid w:val="565B0981"/>
    <w:rsid w:val="565F69C7"/>
    <w:rsid w:val="566A6AC2"/>
    <w:rsid w:val="567765ED"/>
    <w:rsid w:val="569752EE"/>
    <w:rsid w:val="56992E7A"/>
    <w:rsid w:val="56C20796"/>
    <w:rsid w:val="57015387"/>
    <w:rsid w:val="576158FB"/>
    <w:rsid w:val="57987EC6"/>
    <w:rsid w:val="57EE1C5A"/>
    <w:rsid w:val="587D03BD"/>
    <w:rsid w:val="58801DB1"/>
    <w:rsid w:val="58887B6E"/>
    <w:rsid w:val="588F0985"/>
    <w:rsid w:val="58B27ECF"/>
    <w:rsid w:val="58CA01AA"/>
    <w:rsid w:val="594A0E15"/>
    <w:rsid w:val="594D4CB9"/>
    <w:rsid w:val="59887A41"/>
    <w:rsid w:val="59AA606D"/>
    <w:rsid w:val="59AB392B"/>
    <w:rsid w:val="5A0F395B"/>
    <w:rsid w:val="5A3479F4"/>
    <w:rsid w:val="5A3930A8"/>
    <w:rsid w:val="5A4603E9"/>
    <w:rsid w:val="5A6E785F"/>
    <w:rsid w:val="5ABE5090"/>
    <w:rsid w:val="5ADE3760"/>
    <w:rsid w:val="5B4102E0"/>
    <w:rsid w:val="5B7D67DD"/>
    <w:rsid w:val="5BED3721"/>
    <w:rsid w:val="5C0C2085"/>
    <w:rsid w:val="5C1D52A8"/>
    <w:rsid w:val="5C517288"/>
    <w:rsid w:val="5CAD0B0A"/>
    <w:rsid w:val="5CB0650D"/>
    <w:rsid w:val="5D0A2C15"/>
    <w:rsid w:val="5D526037"/>
    <w:rsid w:val="5D7767E9"/>
    <w:rsid w:val="5D9B0F81"/>
    <w:rsid w:val="5DAD16B5"/>
    <w:rsid w:val="5DDB3E54"/>
    <w:rsid w:val="5DED4A13"/>
    <w:rsid w:val="5DFB4093"/>
    <w:rsid w:val="5E421FE3"/>
    <w:rsid w:val="5E474DA5"/>
    <w:rsid w:val="5E5F3AFD"/>
    <w:rsid w:val="5F021B65"/>
    <w:rsid w:val="5F040A84"/>
    <w:rsid w:val="5F1319BD"/>
    <w:rsid w:val="5F482232"/>
    <w:rsid w:val="5F795107"/>
    <w:rsid w:val="5F7B1CAD"/>
    <w:rsid w:val="5FA15EA3"/>
    <w:rsid w:val="5FD35A0A"/>
    <w:rsid w:val="5FD72C5A"/>
    <w:rsid w:val="60415393"/>
    <w:rsid w:val="60454533"/>
    <w:rsid w:val="609C43FB"/>
    <w:rsid w:val="60E67F1D"/>
    <w:rsid w:val="60E92A10"/>
    <w:rsid w:val="619C7C5C"/>
    <w:rsid w:val="61C33AFD"/>
    <w:rsid w:val="61D36535"/>
    <w:rsid w:val="61DE0DE3"/>
    <w:rsid w:val="62753014"/>
    <w:rsid w:val="62DA121A"/>
    <w:rsid w:val="62DB4B57"/>
    <w:rsid w:val="63D35BE4"/>
    <w:rsid w:val="63F8297B"/>
    <w:rsid w:val="64766609"/>
    <w:rsid w:val="647E7ED3"/>
    <w:rsid w:val="64853539"/>
    <w:rsid w:val="649A13E0"/>
    <w:rsid w:val="64B767F2"/>
    <w:rsid w:val="64E27DEC"/>
    <w:rsid w:val="64F81E10"/>
    <w:rsid w:val="650F3138"/>
    <w:rsid w:val="658F7D3B"/>
    <w:rsid w:val="65951635"/>
    <w:rsid w:val="661D6FB0"/>
    <w:rsid w:val="664C7635"/>
    <w:rsid w:val="66507267"/>
    <w:rsid w:val="66823A9C"/>
    <w:rsid w:val="66D24E9B"/>
    <w:rsid w:val="66F00E6A"/>
    <w:rsid w:val="6704139D"/>
    <w:rsid w:val="67275B90"/>
    <w:rsid w:val="67284365"/>
    <w:rsid w:val="672D026C"/>
    <w:rsid w:val="673758CF"/>
    <w:rsid w:val="6765039A"/>
    <w:rsid w:val="67A62756"/>
    <w:rsid w:val="67FF3D5F"/>
    <w:rsid w:val="683452E1"/>
    <w:rsid w:val="684A4536"/>
    <w:rsid w:val="68556089"/>
    <w:rsid w:val="68893DE2"/>
    <w:rsid w:val="68A06A22"/>
    <w:rsid w:val="68A32BE0"/>
    <w:rsid w:val="68A67612"/>
    <w:rsid w:val="68AC1A18"/>
    <w:rsid w:val="68CF7D7A"/>
    <w:rsid w:val="68F47006"/>
    <w:rsid w:val="690312C9"/>
    <w:rsid w:val="699A11DF"/>
    <w:rsid w:val="69A22A60"/>
    <w:rsid w:val="69B0699A"/>
    <w:rsid w:val="69DD3D6A"/>
    <w:rsid w:val="6A230478"/>
    <w:rsid w:val="6A327749"/>
    <w:rsid w:val="6A5B32B7"/>
    <w:rsid w:val="6A6B7D13"/>
    <w:rsid w:val="6A773B37"/>
    <w:rsid w:val="6A950076"/>
    <w:rsid w:val="6AF0035A"/>
    <w:rsid w:val="6B035F8B"/>
    <w:rsid w:val="6B0D582B"/>
    <w:rsid w:val="6B6D4043"/>
    <w:rsid w:val="6B6E31D1"/>
    <w:rsid w:val="6B6E4691"/>
    <w:rsid w:val="6BD82850"/>
    <w:rsid w:val="6BDB7199"/>
    <w:rsid w:val="6BED4F40"/>
    <w:rsid w:val="6C2158E1"/>
    <w:rsid w:val="6C423430"/>
    <w:rsid w:val="6C5E2013"/>
    <w:rsid w:val="6C75597E"/>
    <w:rsid w:val="6CA923E7"/>
    <w:rsid w:val="6CAF2966"/>
    <w:rsid w:val="6CD81D64"/>
    <w:rsid w:val="6CE91967"/>
    <w:rsid w:val="6D597F46"/>
    <w:rsid w:val="6D5E0058"/>
    <w:rsid w:val="6D6161D4"/>
    <w:rsid w:val="6D663923"/>
    <w:rsid w:val="6D6A3415"/>
    <w:rsid w:val="6E074EF4"/>
    <w:rsid w:val="6E2A7478"/>
    <w:rsid w:val="6E5F6200"/>
    <w:rsid w:val="6E897704"/>
    <w:rsid w:val="6ECD47D8"/>
    <w:rsid w:val="6ED91562"/>
    <w:rsid w:val="6EDA70EE"/>
    <w:rsid w:val="6F1D7500"/>
    <w:rsid w:val="6F76166B"/>
    <w:rsid w:val="6F8771B8"/>
    <w:rsid w:val="6F900E9E"/>
    <w:rsid w:val="6F902C9D"/>
    <w:rsid w:val="6FB144B5"/>
    <w:rsid w:val="6FEE5D5C"/>
    <w:rsid w:val="700E3F35"/>
    <w:rsid w:val="7016178E"/>
    <w:rsid w:val="703D28E9"/>
    <w:rsid w:val="70577354"/>
    <w:rsid w:val="7061722B"/>
    <w:rsid w:val="70863190"/>
    <w:rsid w:val="71557491"/>
    <w:rsid w:val="71953379"/>
    <w:rsid w:val="71CC23C5"/>
    <w:rsid w:val="71D85158"/>
    <w:rsid w:val="720450A8"/>
    <w:rsid w:val="72217866"/>
    <w:rsid w:val="722608B4"/>
    <w:rsid w:val="722D51A3"/>
    <w:rsid w:val="72405C54"/>
    <w:rsid w:val="72455DEF"/>
    <w:rsid w:val="726A0EB7"/>
    <w:rsid w:val="728B0D9B"/>
    <w:rsid w:val="72BD03C1"/>
    <w:rsid w:val="72C4224C"/>
    <w:rsid w:val="72C80B18"/>
    <w:rsid w:val="72D153E2"/>
    <w:rsid w:val="73652695"/>
    <w:rsid w:val="73770A59"/>
    <w:rsid w:val="746429F8"/>
    <w:rsid w:val="74A51C26"/>
    <w:rsid w:val="75056A0D"/>
    <w:rsid w:val="753C0E60"/>
    <w:rsid w:val="758D69EC"/>
    <w:rsid w:val="759F719B"/>
    <w:rsid w:val="75E35652"/>
    <w:rsid w:val="762436BA"/>
    <w:rsid w:val="765552AD"/>
    <w:rsid w:val="76777EAB"/>
    <w:rsid w:val="76830A6A"/>
    <w:rsid w:val="770A0BAD"/>
    <w:rsid w:val="774E0D5B"/>
    <w:rsid w:val="7767729F"/>
    <w:rsid w:val="77910914"/>
    <w:rsid w:val="779C76C8"/>
    <w:rsid w:val="781160D2"/>
    <w:rsid w:val="78611184"/>
    <w:rsid w:val="78653623"/>
    <w:rsid w:val="786A5C69"/>
    <w:rsid w:val="787F43E0"/>
    <w:rsid w:val="78847F40"/>
    <w:rsid w:val="78930249"/>
    <w:rsid w:val="78976C6A"/>
    <w:rsid w:val="78F61EF0"/>
    <w:rsid w:val="794F5524"/>
    <w:rsid w:val="795C4D54"/>
    <w:rsid w:val="79736762"/>
    <w:rsid w:val="797D2099"/>
    <w:rsid w:val="798C288A"/>
    <w:rsid w:val="79D00503"/>
    <w:rsid w:val="7A23109B"/>
    <w:rsid w:val="7A300B42"/>
    <w:rsid w:val="7A3573D6"/>
    <w:rsid w:val="7A3F5B69"/>
    <w:rsid w:val="7A673C62"/>
    <w:rsid w:val="7A794599"/>
    <w:rsid w:val="7A8C09FB"/>
    <w:rsid w:val="7AAE5443"/>
    <w:rsid w:val="7B1F0CEA"/>
    <w:rsid w:val="7B3E6724"/>
    <w:rsid w:val="7B67733C"/>
    <w:rsid w:val="7B7C5FC8"/>
    <w:rsid w:val="7BF05664"/>
    <w:rsid w:val="7C7F685A"/>
    <w:rsid w:val="7C88074A"/>
    <w:rsid w:val="7CBB3234"/>
    <w:rsid w:val="7CFF6DC5"/>
    <w:rsid w:val="7D0E60D3"/>
    <w:rsid w:val="7D13468B"/>
    <w:rsid w:val="7D140B06"/>
    <w:rsid w:val="7D6270B3"/>
    <w:rsid w:val="7D776FF1"/>
    <w:rsid w:val="7E270989"/>
    <w:rsid w:val="7E3E7657"/>
    <w:rsid w:val="7ED42F42"/>
    <w:rsid w:val="7F435E1F"/>
    <w:rsid w:val="7F6556D9"/>
    <w:rsid w:val="7F833DB1"/>
    <w:rsid w:val="7FA86FF0"/>
    <w:rsid w:val="7FF45B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3"/>
    <w:basedOn w:val="1"/>
    <w:next w:val="1"/>
    <w:autoRedefine/>
    <w:unhideWhenUsed/>
    <w:qFormat/>
    <w:uiPriority w:val="1"/>
    <w:pPr>
      <w:outlineLvl w:val="2"/>
    </w:pPr>
    <w:rPr>
      <w:rFonts w:ascii="仿宋_GB2312" w:hAnsi="仿宋_GB2312" w:eastAsia="仿宋_GB2312"/>
      <w:kern w:val="0"/>
      <w:szCs w:val="24"/>
    </w:rPr>
  </w:style>
  <w:style w:type="character" w:default="1" w:styleId="18">
    <w:name w:val="Default Paragraph Font"/>
    <w:autoRedefine/>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Title"/>
    <w:basedOn w:val="1"/>
    <w:next w:val="3"/>
    <w:autoRedefine/>
    <w:qFormat/>
    <w:uiPriority w:val="0"/>
    <w:pPr>
      <w:jc w:val="center"/>
      <w:outlineLvl w:val="0"/>
    </w:pPr>
    <w:rPr>
      <w:rFonts w:ascii="Arial" w:hAnsi="Arial" w:eastAsia="宋体" w:cs="Times New Roman"/>
      <w:b/>
      <w:sz w:val="32"/>
      <w:szCs w:val="24"/>
    </w:rPr>
  </w:style>
  <w:style w:type="paragraph" w:customStyle="1" w:styleId="3">
    <w:name w:val="正文文本缩进1"/>
    <w:basedOn w:val="1"/>
    <w:qFormat/>
    <w:uiPriority w:val="0"/>
    <w:pPr>
      <w:spacing w:after="120"/>
      <w:ind w:left="420" w:leftChars="200"/>
    </w:pPr>
  </w:style>
  <w:style w:type="paragraph" w:styleId="5">
    <w:name w:val="Normal Indent"/>
    <w:basedOn w:val="1"/>
    <w:next w:val="6"/>
    <w:unhideWhenUsed/>
    <w:qFormat/>
    <w:uiPriority w:val="99"/>
    <w:pPr>
      <w:ind w:firstLine="420" w:firstLineChars="200"/>
    </w:pPr>
    <w:rPr>
      <w:rFonts w:ascii="Times New Roman" w:hAnsi="Times New Roman" w:eastAsia="宋体" w:cs="Times New Roman"/>
    </w:rPr>
  </w:style>
  <w:style w:type="paragraph" w:styleId="6">
    <w:name w:val="Body Text First Indent 2"/>
    <w:basedOn w:val="7"/>
    <w:next w:val="9"/>
    <w:autoRedefine/>
    <w:qFormat/>
    <w:uiPriority w:val="0"/>
    <w:pPr>
      <w:autoSpaceDE w:val="0"/>
      <w:autoSpaceDN w:val="0"/>
      <w:adjustRightInd w:val="0"/>
      <w:spacing w:after="0" w:line="400" w:lineRule="exact"/>
      <w:ind w:left="0" w:leftChars="0" w:firstLine="420" w:firstLineChars="200"/>
      <w:jc w:val="left"/>
    </w:pPr>
    <w:rPr>
      <w:rFonts w:ascii="楷体_GB2312" w:hAnsi="华文彩云"/>
      <w:sz w:val="24"/>
      <w:szCs w:val="21"/>
    </w:rPr>
  </w:style>
  <w:style w:type="paragraph" w:styleId="7">
    <w:name w:val="Body Text Indent"/>
    <w:basedOn w:val="1"/>
    <w:next w:val="8"/>
    <w:autoRedefine/>
    <w:qFormat/>
    <w:uiPriority w:val="0"/>
    <w:pPr>
      <w:spacing w:after="120"/>
      <w:ind w:left="420" w:leftChars="200"/>
    </w:pPr>
    <w:rPr>
      <w:kern w:val="0"/>
    </w:rPr>
  </w:style>
  <w:style w:type="paragraph" w:styleId="8">
    <w:name w:val="envelope return"/>
    <w:basedOn w:val="1"/>
    <w:qFormat/>
    <w:uiPriority w:val="0"/>
    <w:pPr>
      <w:snapToGrid w:val="0"/>
    </w:pPr>
    <w:rPr>
      <w:rFonts w:ascii="Arial" w:hAnsi="Arial"/>
    </w:rPr>
  </w:style>
  <w:style w:type="paragraph" w:styleId="9">
    <w:name w:val="Body Text First Indent"/>
    <w:basedOn w:val="10"/>
    <w:next w:val="5"/>
    <w:qFormat/>
    <w:uiPriority w:val="0"/>
    <w:pPr>
      <w:ind w:firstLine="420" w:firstLineChars="100"/>
    </w:pPr>
  </w:style>
  <w:style w:type="paragraph" w:styleId="10">
    <w:name w:val="Body Text"/>
    <w:basedOn w:val="1"/>
    <w:next w:val="1"/>
    <w:autoRedefine/>
    <w:unhideWhenUsed/>
    <w:qFormat/>
    <w:uiPriority w:val="99"/>
    <w:pPr>
      <w:widowControl w:val="0"/>
      <w:spacing w:after="120"/>
      <w:jc w:val="both"/>
    </w:pPr>
    <w:rPr>
      <w:rFonts w:ascii="Times New Roman" w:hAnsi="Times New Roman" w:eastAsia="宋体" w:cs="Times New Roman"/>
      <w:kern w:val="2"/>
      <w:sz w:val="21"/>
      <w:szCs w:val="24"/>
      <w:lang w:val="en-US" w:eastAsia="zh-CN" w:bidi="ar-SA"/>
    </w:rPr>
  </w:style>
  <w:style w:type="paragraph" w:styleId="11">
    <w:name w:val="toa heading"/>
    <w:basedOn w:val="1"/>
    <w:next w:val="1"/>
    <w:qFormat/>
    <w:uiPriority w:val="0"/>
    <w:pPr>
      <w:spacing w:before="120"/>
    </w:pPr>
    <w:rPr>
      <w:rFonts w:ascii="Arial" w:hAnsi="Arial"/>
    </w:rPr>
  </w:style>
  <w:style w:type="paragraph" w:styleId="12">
    <w:name w:val="Block Text"/>
    <w:basedOn w:val="1"/>
    <w:autoRedefine/>
    <w:qFormat/>
    <w:uiPriority w:val="0"/>
    <w:pPr>
      <w:spacing w:before="100" w:beforeAutospacing="1" w:after="120"/>
      <w:ind w:left="700" w:leftChars="700" w:right="700" w:rightChars="700"/>
    </w:pPr>
    <w:rPr>
      <w:szCs w:val="21"/>
    </w:rPr>
  </w:style>
  <w:style w:type="paragraph" w:styleId="13">
    <w:name w:val="Body Text Indent 2"/>
    <w:basedOn w:val="1"/>
    <w:unhideWhenUsed/>
    <w:qFormat/>
    <w:uiPriority w:val="99"/>
    <w:pPr>
      <w:ind w:firstLine="540"/>
    </w:pPr>
    <w:rPr>
      <w:rFonts w:ascii="宋体"/>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
    <w:name w:val="三级1"/>
    <w:next w:val="2"/>
    <w:qFormat/>
    <w:uiPriority w:val="0"/>
    <w:pPr>
      <w:ind w:left="2422" w:hanging="720"/>
    </w:pPr>
    <w:rPr>
      <w:rFonts w:ascii="宋体" w:hAnsi="宋体" w:eastAsia="仿宋_GB2312" w:cs="Times New Roman"/>
      <w:spacing w:val="10"/>
      <w:kern w:val="0"/>
      <w:sz w:val="32"/>
      <w:szCs w:val="20"/>
      <w:lang w:val="en-US" w:eastAsia="zh-CN" w:bidi="ar-SA"/>
    </w:rPr>
  </w:style>
  <w:style w:type="paragraph" w:styleId="20">
    <w:name w:val="List Paragraph"/>
    <w:basedOn w:val="1"/>
    <w:autoRedefine/>
    <w:qFormat/>
    <w:uiPriority w:val="34"/>
    <w:pPr>
      <w:ind w:firstLine="420" w:firstLineChars="200"/>
    </w:pPr>
    <w:rPr>
      <w:rFonts w:ascii="Times New Roman" w:hAnsi="Times New Roman"/>
      <w:szCs w:val="24"/>
    </w:rPr>
  </w:style>
  <w:style w:type="paragraph" w:customStyle="1" w:styleId="21">
    <w:name w:val="Body Text First Indent 2_6f44b84f-63aa-4ed0-a631-2db725315221"/>
    <w:basedOn w:val="22"/>
    <w:autoRedefine/>
    <w:qFormat/>
    <w:uiPriority w:val="0"/>
    <w:pPr>
      <w:ind w:firstLine="420" w:firstLineChars="200"/>
    </w:pPr>
  </w:style>
  <w:style w:type="paragraph" w:customStyle="1" w:styleId="22">
    <w:name w:val="Body Text Indent_a968ee00-8b83-4134-9a91-4cbdc62261a4"/>
    <w:basedOn w:val="1"/>
    <w:autoRedefine/>
    <w:qFormat/>
    <w:uiPriority w:val="0"/>
    <w:pPr>
      <w:spacing w:after="120"/>
      <w:ind w:left="420" w:leftChars="200"/>
    </w:pPr>
  </w:style>
  <w:style w:type="paragraph" w:customStyle="1" w:styleId="23">
    <w:name w:val="BodyText1I"/>
    <w:basedOn w:val="24"/>
    <w:qFormat/>
    <w:uiPriority w:val="99"/>
    <w:pPr>
      <w:spacing w:after="0"/>
      <w:ind w:firstLine="200" w:firstLineChars="200"/>
    </w:pPr>
    <w:rPr>
      <w:kern w:val="0"/>
      <w:sz w:val="24"/>
    </w:rPr>
  </w:style>
  <w:style w:type="paragraph" w:customStyle="1" w:styleId="24">
    <w:name w:val="BodyText"/>
    <w:basedOn w:val="1"/>
    <w:qFormat/>
    <w:uiPriority w:val="99"/>
    <w:pPr>
      <w:spacing w:after="1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2969</Words>
  <Characters>3187</Characters>
  <Lines>0</Lines>
  <Paragraphs>0</Paragraphs>
  <TotalTime>98</TotalTime>
  <ScaleCrop>false</ScaleCrop>
  <LinksUpToDate>false</LinksUpToDate>
  <CharactersWithSpaces>3188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2023-12-19T07:19:00Z</dcterms:created>
  <dc:creator>范延英</dc:creator>
  <cp:lastModifiedBy>陈健</cp:lastModifiedBy>
  <dcterms:modified xsi:type="dcterms:W3CDTF">2026-03-16T14:27:25Z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DD81FC2312F947D9930E7DE4127F0BC5</vt:lpwstr>
  </property>
  <property fmtid="{D5CDD505-2E9C-101B-9397-08002B2CF9AE}" pid="4" name="KSOTemplateDocerSaveRecord">
    <vt:lpwstr>eyJoZGlkIjoiNTE3NDYxMmZiMmU3ODQ4OWE5ODVkMTU2MTBiMTQwNTQiLCJ1c2VySWQiOiI0ODAxMjE4NjYifQ==</vt:lpwstr>
  </property>
</Properties>
</file>