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C1C18E">
      <w:pPr>
        <w:pStyle w:val="20"/>
        <w:keepNext w:val="0"/>
        <w:keepLines w:val="0"/>
        <w:pageBreakBefore w:val="0"/>
        <w:widowControl w:val="0"/>
        <w:numPr>
          <w:ilvl w:val="0"/>
          <w:numId w:val="0"/>
        </w:numPr>
        <w:shd w:val="clear"/>
        <w:kinsoku/>
        <w:wordWrap/>
        <w:overflowPunct/>
        <w:topLinePunct w:val="0"/>
        <w:autoSpaceDE/>
        <w:autoSpaceDN/>
        <w:bidi w:val="0"/>
        <w:adjustRightInd/>
        <w:snapToGrid/>
        <w:spacing w:line="720" w:lineRule="auto"/>
        <w:jc w:val="center"/>
        <w:textAlignment w:val="auto"/>
        <w:outlineLvl w:val="0"/>
        <w:rPr>
          <w:rFonts w:hint="eastAsia" w:ascii="方正小标宋简体" w:hAnsi="方正小标宋简体" w:eastAsia="方正小标宋简体" w:cs="方正小标宋简体"/>
          <w:color w:val="000000" w:themeColor="text1"/>
          <w:sz w:val="48"/>
          <w:szCs w:val="48"/>
          <w:highlight w:val="none"/>
          <w:lang w:val="en-US" w:eastAsia="zh-CN"/>
          <w14:textFill>
            <w14:solidFill>
              <w14:schemeClr w14:val="tx1"/>
            </w14:solidFill>
          </w14:textFill>
        </w:rPr>
      </w:pPr>
      <w:bookmarkStart w:id="0" w:name="_Toc10491"/>
      <w:r>
        <w:rPr>
          <w:rFonts w:hint="eastAsia" w:ascii="方正小标宋简体" w:hAnsi="方正小标宋简体" w:eastAsia="方正小标宋简体" w:cs="方正小标宋简体"/>
          <w:color w:val="000000" w:themeColor="text1"/>
          <w:sz w:val="48"/>
          <w:szCs w:val="48"/>
          <w:highlight w:val="none"/>
          <w:lang w:val="en-US" w:eastAsia="zh-CN"/>
          <w14:textFill>
            <w14:solidFill>
              <w14:schemeClr w14:val="tx1"/>
            </w14:solidFill>
          </w14:textFill>
        </w:rPr>
        <w:t>江苏盐城农村商业银行股份有限公司</w:t>
      </w:r>
      <w:bookmarkEnd w:id="0"/>
    </w:p>
    <w:p w14:paraId="1581F3DA">
      <w:pPr>
        <w:pStyle w:val="20"/>
        <w:keepNext w:val="0"/>
        <w:keepLines w:val="0"/>
        <w:pageBreakBefore w:val="0"/>
        <w:widowControl w:val="0"/>
        <w:numPr>
          <w:ilvl w:val="0"/>
          <w:numId w:val="0"/>
        </w:numPr>
        <w:shd w:val="clear"/>
        <w:kinsoku/>
        <w:wordWrap/>
        <w:overflowPunct/>
        <w:topLinePunct w:val="0"/>
        <w:autoSpaceDE/>
        <w:autoSpaceDN/>
        <w:bidi w:val="0"/>
        <w:adjustRightInd/>
        <w:snapToGrid/>
        <w:spacing w:line="720" w:lineRule="auto"/>
        <w:jc w:val="center"/>
        <w:textAlignment w:val="auto"/>
        <w:outlineLvl w:val="0"/>
        <w:rPr>
          <w:rFonts w:hint="eastAsia" w:ascii="方正小标宋简体" w:hAnsi="方正小标宋简体" w:eastAsia="方正小标宋简体" w:cs="方正小标宋简体"/>
          <w:color w:val="000000" w:themeColor="text1"/>
          <w:sz w:val="48"/>
          <w:szCs w:val="48"/>
          <w:highlight w:val="none"/>
          <w:lang w:val="en-US" w:eastAsia="zh-CN"/>
          <w14:textFill>
            <w14:solidFill>
              <w14:schemeClr w14:val="tx1"/>
            </w14:solidFill>
          </w14:textFill>
        </w:rPr>
      </w:pPr>
      <w:bookmarkStart w:id="1" w:name="_Toc2596"/>
      <w:bookmarkStart w:id="2" w:name="_Toc16585"/>
      <w:bookmarkStart w:id="3" w:name="_Toc9067"/>
      <w:bookmarkStart w:id="4" w:name="_Toc15809"/>
      <w:bookmarkStart w:id="5" w:name="_Toc4457"/>
      <w:r>
        <w:rPr>
          <w:rFonts w:hint="eastAsia" w:ascii="方正小标宋简体" w:hAnsi="方正小标宋简体" w:eastAsia="方正小标宋简体" w:cs="方正小标宋简体"/>
          <w:color w:val="000000" w:themeColor="text1"/>
          <w:sz w:val="48"/>
          <w:szCs w:val="48"/>
          <w:highlight w:val="none"/>
          <w:lang w:val="en-US" w:eastAsia="zh-CN"/>
          <w14:textFill>
            <w14:solidFill>
              <w14:schemeClr w14:val="tx1"/>
            </w14:solidFill>
          </w14:textFill>
        </w:rPr>
        <w:t>2024年度</w:t>
      </w:r>
      <w:bookmarkEnd w:id="1"/>
      <w:bookmarkEnd w:id="2"/>
      <w:r>
        <w:rPr>
          <w:rFonts w:hint="eastAsia" w:ascii="方正小标宋简体" w:hAnsi="方正小标宋简体" w:eastAsia="方正小标宋简体" w:cs="方正小标宋简体"/>
          <w:color w:val="000000" w:themeColor="text1"/>
          <w:sz w:val="48"/>
          <w:szCs w:val="48"/>
          <w:highlight w:val="none"/>
          <w:lang w:val="en-US" w:eastAsia="zh-CN"/>
          <w14:textFill>
            <w14:solidFill>
              <w14:schemeClr w14:val="tx1"/>
            </w14:solidFill>
          </w14:textFill>
        </w:rPr>
        <w:t>环境信息披露报告</w:t>
      </w:r>
      <w:bookmarkEnd w:id="3"/>
      <w:bookmarkEnd w:id="4"/>
      <w:bookmarkEnd w:id="5"/>
    </w:p>
    <w:p w14:paraId="40C15BE6">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7A2B96E4">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41C93520">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2BC61DA4">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28F87355">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3BBFB451">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7279D2A1">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42B60925">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45470AB4">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1F27770D">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75384CFD">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347FA339">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2E2FE105">
      <w:pPr>
        <w:pStyle w:val="20"/>
        <w:numPr>
          <w:ilvl w:val="0"/>
          <w:numId w:val="0"/>
        </w:numPr>
        <w:shd w:val="clear"/>
        <w:bidi w:val="0"/>
        <w:jc w:val="both"/>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70141D4B">
      <w:pPr>
        <w:pStyle w:val="20"/>
        <w:numPr>
          <w:ilvl w:val="0"/>
          <w:numId w:val="0"/>
        </w:numPr>
        <w:shd w:val="clear"/>
        <w:bidi w:val="0"/>
        <w:jc w:val="both"/>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5F34C4DC">
      <w:pPr>
        <w:pStyle w:val="20"/>
        <w:numPr>
          <w:ilvl w:val="0"/>
          <w:numId w:val="0"/>
        </w:numPr>
        <w:shd w:val="clear"/>
        <w:bidi w:val="0"/>
        <w:outlineLvl w:val="9"/>
        <w:rPr>
          <w:rFonts w:hint="default" w:ascii="Times New Roman" w:hAnsi="Times New Roman" w:cs="Times New Roman"/>
          <w:color w:val="000000" w:themeColor="text1"/>
          <w:sz w:val="48"/>
          <w:szCs w:val="28"/>
          <w:highlight w:val="none"/>
          <w:lang w:val="en-US" w:eastAsia="zh-CN"/>
          <w14:textFill>
            <w14:solidFill>
              <w14:schemeClr w14:val="tx1"/>
            </w14:solidFill>
          </w14:textFill>
        </w:rPr>
      </w:pPr>
    </w:p>
    <w:p w14:paraId="00CEB6C0">
      <w:pPr>
        <w:pStyle w:val="20"/>
        <w:keepNext w:val="0"/>
        <w:keepLines w:val="0"/>
        <w:pageBreakBefore w:val="0"/>
        <w:widowControl w:val="0"/>
        <w:numPr>
          <w:ilvl w:val="0"/>
          <w:numId w:val="0"/>
        </w:numPr>
        <w:shd w:val="clear"/>
        <w:kinsoku/>
        <w:wordWrap/>
        <w:overflowPunct/>
        <w:topLinePunct w:val="0"/>
        <w:autoSpaceDE/>
        <w:autoSpaceDN/>
        <w:bidi w:val="0"/>
        <w:adjustRightInd/>
        <w:snapToGrid/>
        <w:spacing w:line="480" w:lineRule="exact"/>
        <w:jc w:val="center"/>
        <w:textAlignment w:val="auto"/>
        <w:outlineLvl w:val="0"/>
        <w:rPr>
          <w:rFonts w:hint="eastAsia" w:ascii="华文楷体" w:hAnsi="华文楷体" w:eastAsia="华文楷体" w:cs="华文楷体"/>
          <w:color w:val="000000" w:themeColor="text1"/>
          <w:sz w:val="36"/>
          <w:szCs w:val="21"/>
          <w:highlight w:val="none"/>
          <w:lang w:val="en-US" w:eastAsia="zh-CN"/>
          <w14:textFill>
            <w14:solidFill>
              <w14:schemeClr w14:val="tx1"/>
            </w14:solidFill>
          </w14:textFill>
        </w:rPr>
      </w:pPr>
      <w:bookmarkStart w:id="6" w:name="_Toc8257"/>
      <w:r>
        <w:rPr>
          <w:rFonts w:hint="eastAsia" w:ascii="华文楷体" w:hAnsi="华文楷体" w:eastAsia="华文楷体" w:cs="华文楷体"/>
          <w:color w:val="000000" w:themeColor="text1"/>
          <w:sz w:val="36"/>
          <w:szCs w:val="36"/>
          <w:highlight w:val="none"/>
          <w:lang w:val="en-US" w:eastAsia="zh-CN"/>
          <w14:textFill>
            <w14:solidFill>
              <w14:schemeClr w14:val="tx1"/>
            </w14:solidFill>
          </w14:textFill>
        </w:rPr>
        <w:t>江苏盐城农村商业银行股份有限公司</w:t>
      </w:r>
      <w:bookmarkEnd w:id="6"/>
    </w:p>
    <w:p w14:paraId="77EB5462">
      <w:pPr>
        <w:pStyle w:val="20"/>
        <w:keepNext w:val="0"/>
        <w:keepLines w:val="0"/>
        <w:pageBreakBefore w:val="0"/>
        <w:widowControl w:val="0"/>
        <w:numPr>
          <w:ilvl w:val="0"/>
          <w:numId w:val="0"/>
        </w:numPr>
        <w:shd w:val="clear"/>
        <w:kinsoku/>
        <w:wordWrap/>
        <w:overflowPunct/>
        <w:topLinePunct w:val="0"/>
        <w:autoSpaceDE/>
        <w:autoSpaceDN/>
        <w:bidi w:val="0"/>
        <w:adjustRightInd/>
        <w:snapToGrid/>
        <w:spacing w:line="480" w:lineRule="exact"/>
        <w:jc w:val="center"/>
        <w:textAlignment w:val="auto"/>
        <w:outlineLvl w:val="0"/>
        <w:rPr>
          <w:rFonts w:hint="eastAsia" w:ascii="华文楷体" w:hAnsi="华文楷体" w:eastAsia="华文楷体" w:cs="华文楷体"/>
          <w:color w:val="000000" w:themeColor="text1"/>
          <w:sz w:val="36"/>
          <w:szCs w:val="21"/>
          <w:highlight w:val="none"/>
          <w:lang w:val="en-US" w:eastAsia="zh-CN"/>
          <w14:textFill>
            <w14:solidFill>
              <w14:schemeClr w14:val="tx1"/>
            </w14:solidFill>
          </w14:textFill>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7" w:name="_Toc7042"/>
      <w:r>
        <w:rPr>
          <w:rFonts w:hint="eastAsia" w:ascii="华文楷体" w:hAnsi="华文楷体" w:eastAsia="华文楷体" w:cs="华文楷体"/>
          <w:color w:val="000000" w:themeColor="text1"/>
          <w:sz w:val="36"/>
          <w:szCs w:val="21"/>
          <w:highlight w:val="none"/>
          <w:lang w:val="en-US" w:eastAsia="zh-CN"/>
          <w14:textFill>
            <w14:solidFill>
              <w14:schemeClr w14:val="tx1"/>
            </w14:solidFill>
          </w14:textFill>
        </w:rPr>
        <w:t>2025年5月</w:t>
      </w:r>
      <w:bookmarkEnd w:id="7"/>
    </w:p>
    <w:sdt>
      <w:sdtPr>
        <w:rPr>
          <w:rFonts w:ascii="宋体" w:hAnsi="宋体" w:eastAsia="宋体" w:cstheme="minorBidi"/>
          <w:kern w:val="2"/>
          <w:sz w:val="21"/>
          <w:szCs w:val="22"/>
          <w:highlight w:val="none"/>
          <w:lang w:val="en-US" w:eastAsia="zh-CN" w:bidi="ar-SA"/>
        </w:rPr>
        <w:id w:val="147450997"/>
        <w15:color w:val="DBDBDB"/>
        <w:docPartObj>
          <w:docPartGallery w:val="Table of Contents"/>
          <w:docPartUnique/>
        </w:docPartObj>
      </w:sdtPr>
      <w:sdtEndPr>
        <w:rPr>
          <w:rFonts w:hint="eastAsia" w:ascii="黑体" w:hAnsi="黑体" w:eastAsia="黑体" w:cs="黑体"/>
          <w:bCs/>
          <w:color w:val="000000" w:themeColor="text1"/>
          <w:kern w:val="2"/>
          <w:sz w:val="32"/>
          <w:szCs w:val="36"/>
          <w:highlight w:val="none"/>
          <w:lang w:val="en-US" w:eastAsia="zh-CN" w:bidi="ar-SA"/>
          <w14:textFill>
            <w14:solidFill>
              <w14:schemeClr w14:val="tx1"/>
            </w14:solidFill>
          </w14:textFill>
        </w:rPr>
      </w:sdtEndPr>
      <w:sdtContent>
        <w:p w14:paraId="65B6EB70">
          <w:pPr>
            <w:spacing w:before="0" w:beforeLines="0" w:after="0" w:afterLines="0" w:line="240" w:lineRule="auto"/>
            <w:ind w:left="0" w:leftChars="0" w:right="0" w:rightChars="0" w:firstLine="0" w:firstLineChars="0"/>
            <w:jc w:val="center"/>
            <w:rPr>
              <w:rFonts w:ascii="宋体" w:hAnsi="宋体" w:eastAsia="宋体" w:cstheme="minorBidi"/>
              <w:kern w:val="2"/>
              <w:sz w:val="21"/>
              <w:szCs w:val="22"/>
              <w:highlight w:val="none"/>
              <w:lang w:val="en-US" w:eastAsia="zh-CN" w:bidi="ar-SA"/>
            </w:rPr>
          </w:pPr>
        </w:p>
        <w:p w14:paraId="2CC39721">
          <w:pPr>
            <w:spacing w:before="0" w:beforeLines="0" w:after="0" w:afterLines="0" w:line="240" w:lineRule="auto"/>
            <w:ind w:left="0" w:leftChars="0" w:right="0" w:rightChars="0" w:firstLine="0" w:firstLineChars="0"/>
            <w:jc w:val="center"/>
            <w:rPr>
              <w:rFonts w:ascii="宋体" w:hAnsi="宋体" w:eastAsia="宋体"/>
              <w:b/>
              <w:bCs/>
              <w:sz w:val="40"/>
              <w:szCs w:val="44"/>
              <w:highlight w:val="none"/>
            </w:rPr>
          </w:pPr>
          <w:r>
            <w:rPr>
              <w:rFonts w:ascii="宋体" w:hAnsi="宋体" w:eastAsia="宋体"/>
              <w:b/>
              <w:bCs/>
              <w:sz w:val="40"/>
              <w:szCs w:val="44"/>
              <w:highlight w:val="none"/>
            </w:rPr>
            <w:t>目录</w:t>
          </w:r>
        </w:p>
        <w:p w14:paraId="0A3B6A9F">
          <w:pPr>
            <w:spacing w:before="0" w:beforeLines="0" w:after="0" w:afterLines="0" w:line="240" w:lineRule="auto"/>
            <w:ind w:left="0" w:leftChars="0" w:right="0" w:rightChars="0" w:firstLine="0" w:firstLineChars="0"/>
            <w:jc w:val="center"/>
            <w:rPr>
              <w:rFonts w:hint="eastAsia" w:ascii="黑体" w:hAnsi="黑体" w:eastAsia="黑体" w:cs="黑体"/>
              <w:b/>
              <w:bCs/>
              <w:color w:val="000000" w:themeColor="text1"/>
              <w:sz w:val="36"/>
              <w:szCs w:val="36"/>
              <w:highlight w:val="none"/>
              <w:lang w:val="en-US" w:eastAsia="zh-CN"/>
              <w14:textFill>
                <w14:solidFill>
                  <w14:schemeClr w14:val="tx1"/>
                </w14:solidFill>
              </w14:textFill>
            </w:rPr>
          </w:pPr>
        </w:p>
        <w:p w14:paraId="0475E965">
          <w:pPr>
            <w:spacing w:before="0" w:beforeLines="0" w:after="0" w:afterLines="0" w:line="240" w:lineRule="auto"/>
            <w:ind w:left="0" w:leftChars="0" w:right="0" w:rightChars="0" w:firstLine="0" w:firstLineChars="0"/>
            <w:jc w:val="center"/>
            <w:rPr>
              <w:highlight w:val="none"/>
            </w:rPr>
          </w:pPr>
          <w:r>
            <w:rPr>
              <w:rFonts w:hint="eastAsia" w:ascii="黑体" w:hAnsi="黑体" w:eastAsia="黑体" w:cs="黑体"/>
              <w:b/>
              <w:bCs/>
              <w:color w:val="000000" w:themeColor="text1"/>
              <w:sz w:val="36"/>
              <w:szCs w:val="36"/>
              <w:highlight w:val="none"/>
              <w:lang w:val="en-US" w:eastAsia="zh-CN"/>
              <w14:textFill>
                <w14:solidFill>
                  <w14:schemeClr w14:val="tx1"/>
                </w14:solidFill>
              </w14:textFill>
            </w:rPr>
            <w:fldChar w:fldCharType="begin"/>
          </w:r>
          <w:r>
            <w:rPr>
              <w:rFonts w:hint="eastAsia" w:ascii="黑体" w:hAnsi="黑体" w:eastAsia="黑体" w:cs="黑体"/>
              <w:b/>
              <w:bCs/>
              <w:color w:val="000000" w:themeColor="text1"/>
              <w:sz w:val="36"/>
              <w:szCs w:val="36"/>
              <w:highlight w:val="none"/>
              <w:lang w:val="en-US" w:eastAsia="zh-CN"/>
              <w14:textFill>
                <w14:solidFill>
                  <w14:schemeClr w14:val="tx1"/>
                </w14:solidFill>
              </w14:textFill>
            </w:rPr>
            <w:instrText xml:space="preserve">TOC \o "1-3" \h \u </w:instrText>
          </w:r>
          <w:r>
            <w:rPr>
              <w:rFonts w:hint="eastAsia" w:ascii="黑体" w:hAnsi="黑体" w:eastAsia="黑体" w:cs="黑体"/>
              <w:b/>
              <w:bCs/>
              <w:color w:val="000000" w:themeColor="text1"/>
              <w:sz w:val="36"/>
              <w:szCs w:val="36"/>
              <w:highlight w:val="none"/>
              <w:lang w:val="en-US" w:eastAsia="zh-CN"/>
              <w14:textFill>
                <w14:solidFill>
                  <w14:schemeClr w14:val="tx1"/>
                </w14:solidFill>
              </w14:textFill>
            </w:rPr>
            <w:fldChar w:fldCharType="separate"/>
          </w:r>
        </w:p>
        <w:p w14:paraId="7FC4E1FD">
          <w:pPr>
            <w:pStyle w:val="12"/>
            <w:tabs>
              <w:tab w:val="right" w:leader="dot" w:pos="8306"/>
            </w:tabs>
            <w:rPr>
              <w:rFonts w:hint="eastAsia" w:ascii="黑体" w:hAnsi="黑体" w:eastAsia="黑体" w:cs="黑体"/>
              <w:b w:val="0"/>
              <w:bCs/>
              <w:sz w:val="28"/>
              <w:szCs w:val="28"/>
              <w:highlight w:val="none"/>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_Toc29138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关于本报告</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lang w:val="en-US" w:eastAsia="zh-CN"/>
            </w:rPr>
            <w:t>1</w:t>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p>
        <w:p w14:paraId="5EFE8722">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_Toc15556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一、总体</w:t>
          </w:r>
          <w:r>
            <w:rPr>
              <w:rFonts w:hint="eastAsia" w:ascii="黑体" w:hAnsi="黑体" w:eastAsia="黑体" w:cs="黑体"/>
              <w:b w:val="0"/>
              <w:bCs/>
              <w:sz w:val="28"/>
              <w:szCs w:val="28"/>
              <w:highlight w:val="none"/>
            </w:rPr>
            <w:t>概况</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3</w:t>
          </w:r>
        </w:p>
        <w:p w14:paraId="4DE43896">
          <w:pPr>
            <w:pStyle w:val="12"/>
            <w:tabs>
              <w:tab w:val="right" w:leader="dot" w:pos="8306"/>
            </w:tabs>
            <w:rPr>
              <w:rFonts w:hint="eastAsia" w:eastAsia="黑体"/>
              <w:highlight w:val="none"/>
              <w:lang w:val="en-US" w:eastAsia="zh-CN"/>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_Toc18799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二、</w:t>
          </w:r>
          <w:r>
            <w:rPr>
              <w:rFonts w:hint="eastAsia" w:ascii="黑体" w:hAnsi="黑体" w:eastAsia="黑体" w:cs="黑体"/>
              <w:b w:val="0"/>
              <w:bCs/>
              <w:sz w:val="28"/>
              <w:szCs w:val="28"/>
              <w:highlight w:val="none"/>
              <w:lang w:val="en-US" w:eastAsia="zh-CN"/>
            </w:rPr>
            <w:t>环境相关治理结构</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lang w:val="en-US" w:eastAsia="zh-CN"/>
            </w:rPr>
            <w:t>4</w:t>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p>
        <w:p w14:paraId="6D2FC3B0">
          <w:pPr>
            <w:pStyle w:val="12"/>
            <w:tabs>
              <w:tab w:val="right" w:leader="dot" w:pos="8306"/>
            </w:tabs>
            <w:jc w:val="center"/>
            <w:rPr>
              <w:rFonts w:hint="eastAsia"/>
              <w:highlight w:val="none"/>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_Toc23118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三</w:t>
          </w:r>
          <w:r>
            <w:rPr>
              <w:rFonts w:hint="eastAsia" w:ascii="黑体" w:hAnsi="黑体" w:eastAsia="黑体" w:cs="黑体"/>
              <w:b w:val="0"/>
              <w:bCs/>
              <w:sz w:val="28"/>
              <w:szCs w:val="28"/>
              <w:highlight w:val="none"/>
              <w:lang w:val="en-US" w:eastAsia="zh-CN"/>
            </w:rPr>
            <w:t>、</w:t>
          </w:r>
          <w:r>
            <w:rPr>
              <w:rFonts w:hint="eastAsia" w:ascii="黑体" w:hAnsi="黑体" w:eastAsia="黑体" w:cs="黑体"/>
              <w:b w:val="0"/>
              <w:bCs/>
              <w:sz w:val="28"/>
              <w:szCs w:val="28"/>
              <w:highlight w:val="none"/>
              <w:lang w:val="en-US" w:eastAsia="zh-CN"/>
            </w:rPr>
            <w:t>环境相关政策制度</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lang w:val="en-US" w:eastAsia="zh-CN"/>
            </w:rPr>
            <w:t>5</w:t>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p>
        <w:p w14:paraId="5BD0D520">
          <w:pPr>
            <w:pStyle w:val="12"/>
            <w:tabs>
              <w:tab w:val="right" w:leader="dot" w:pos="8306"/>
            </w:tabs>
            <w:rPr>
              <w:rFonts w:hint="default"/>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_Toc9254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四</w:t>
          </w:r>
          <w:r>
            <w:rPr>
              <w:rFonts w:hint="eastAsia" w:ascii="黑体" w:hAnsi="黑体" w:eastAsia="黑体" w:cs="黑体"/>
              <w:b w:val="0"/>
              <w:bCs/>
              <w:sz w:val="28"/>
              <w:szCs w:val="28"/>
              <w:highlight w:val="none"/>
              <w:lang w:val="en-US" w:eastAsia="zh-CN"/>
            </w:rPr>
            <w:t>、</w:t>
          </w:r>
          <w:r>
            <w:rPr>
              <w:rFonts w:hint="eastAsia" w:ascii="黑体" w:hAnsi="黑体" w:eastAsia="黑体" w:cs="黑体"/>
              <w:b w:val="0"/>
              <w:bCs/>
              <w:sz w:val="28"/>
              <w:szCs w:val="28"/>
              <w:highlight w:val="none"/>
            </w:rPr>
            <w:t>环境相关</w:t>
          </w:r>
          <w:r>
            <w:rPr>
              <w:rFonts w:hint="eastAsia" w:ascii="黑体" w:hAnsi="黑体" w:eastAsia="黑体" w:cs="黑体"/>
              <w:b w:val="0"/>
              <w:bCs/>
              <w:sz w:val="28"/>
              <w:szCs w:val="28"/>
              <w:highlight w:val="none"/>
              <w:lang w:val="en-US" w:eastAsia="zh-CN"/>
            </w:rPr>
            <w:t>业务</w:t>
          </w:r>
          <w:r>
            <w:rPr>
              <w:rFonts w:hint="eastAsia" w:ascii="黑体" w:hAnsi="黑体" w:eastAsia="黑体" w:cs="黑体"/>
              <w:b w:val="0"/>
              <w:bCs/>
              <w:sz w:val="28"/>
              <w:szCs w:val="28"/>
              <w:highlight w:val="none"/>
            </w:rPr>
            <w:t>与服务创新</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lang w:val="en-US" w:eastAsia="zh-CN"/>
            </w:rPr>
            <w:t>7</w:t>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p>
        <w:p w14:paraId="29A08AF9">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_Toc8756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五</w:t>
          </w:r>
          <w:r>
            <w:rPr>
              <w:rFonts w:hint="eastAsia" w:ascii="黑体" w:hAnsi="黑体" w:eastAsia="黑体" w:cs="黑体"/>
              <w:b w:val="0"/>
              <w:bCs/>
              <w:sz w:val="28"/>
              <w:szCs w:val="28"/>
              <w:highlight w:val="none"/>
              <w:lang w:val="en-US" w:eastAsia="zh-CN"/>
            </w:rPr>
            <w:t>、</w:t>
          </w:r>
          <w:r>
            <w:rPr>
              <w:rFonts w:hint="eastAsia" w:ascii="黑体" w:hAnsi="黑体" w:eastAsia="黑体" w:cs="黑体"/>
              <w:b w:val="0"/>
              <w:bCs/>
              <w:sz w:val="28"/>
              <w:szCs w:val="28"/>
              <w:highlight w:val="none"/>
              <w:lang w:val="en-US" w:eastAsia="zh-CN"/>
            </w:rPr>
            <w:t>环境风险管理流程</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8</w:t>
          </w:r>
        </w:p>
        <w:p w14:paraId="1379D180">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_Toc7226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六</w:t>
          </w:r>
          <w:r>
            <w:rPr>
              <w:rFonts w:hint="eastAsia" w:ascii="黑体" w:hAnsi="黑体" w:eastAsia="黑体" w:cs="黑体"/>
              <w:b w:val="0"/>
              <w:bCs/>
              <w:sz w:val="28"/>
              <w:szCs w:val="28"/>
              <w:highlight w:val="none"/>
              <w:lang w:val="en-US" w:eastAsia="zh-CN"/>
            </w:rPr>
            <w:t>、</w:t>
          </w:r>
          <w:r>
            <w:rPr>
              <w:rFonts w:hint="eastAsia" w:ascii="黑体" w:hAnsi="黑体" w:eastAsia="黑体" w:cs="黑体"/>
              <w:b w:val="0"/>
              <w:bCs/>
              <w:sz w:val="28"/>
              <w:szCs w:val="28"/>
              <w:highlight w:val="none"/>
              <w:lang w:val="en-US" w:eastAsia="zh-CN"/>
            </w:rPr>
            <w:t>环境风险和机遇</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lang w:val="en-US" w:eastAsia="zh-CN"/>
            </w:rPr>
            <w:t>1</w:t>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0</w:t>
          </w:r>
        </w:p>
        <w:p w14:paraId="3B023B45">
          <w:pPr>
            <w:pStyle w:val="12"/>
            <w:tabs>
              <w:tab w:val="right" w:leader="dot" w:pos="8306"/>
            </w:tabs>
            <w:rPr>
              <w:rFonts w:hint="eastAsia" w:ascii="黑体" w:hAnsi="黑体" w:eastAsia="黑体" w:cs="黑体"/>
              <w:b w:val="0"/>
              <w:bCs/>
              <w:sz w:val="28"/>
              <w:szCs w:val="28"/>
              <w:highlight w:val="none"/>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_Toc11709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七</w:t>
          </w:r>
          <w:r>
            <w:rPr>
              <w:rFonts w:hint="eastAsia" w:ascii="黑体" w:hAnsi="黑体" w:eastAsia="黑体" w:cs="黑体"/>
              <w:b w:val="0"/>
              <w:bCs/>
              <w:sz w:val="28"/>
              <w:szCs w:val="28"/>
              <w:highlight w:val="none"/>
              <w:lang w:val="en-US" w:eastAsia="zh-CN"/>
            </w:rPr>
            <w:t>、</w:t>
          </w:r>
          <w:r>
            <w:rPr>
              <w:rFonts w:hint="eastAsia" w:ascii="黑体" w:hAnsi="黑体" w:eastAsia="黑体" w:cs="黑体"/>
              <w:b w:val="0"/>
              <w:bCs/>
              <w:sz w:val="28"/>
              <w:szCs w:val="28"/>
              <w:highlight w:val="none"/>
              <w:lang w:val="en-US" w:eastAsia="zh-CN"/>
            </w:rPr>
            <w:t>本行</w:t>
          </w:r>
          <w:r>
            <w:rPr>
              <w:rFonts w:hint="default" w:ascii="黑体" w:hAnsi="黑体" w:eastAsia="黑体" w:cs="黑体"/>
              <w:b w:val="0"/>
              <w:bCs/>
              <w:sz w:val="28"/>
              <w:szCs w:val="28"/>
              <w:highlight w:val="none"/>
              <w:lang w:val="en-US" w:eastAsia="zh-CN"/>
            </w:rPr>
            <w:t>投融资所产生的环境影响</w:t>
          </w:r>
          <w:r>
            <w:rPr>
              <w:rFonts w:hint="eastAsia" w:ascii="黑体" w:hAnsi="黑体" w:eastAsia="黑体" w:cs="黑体"/>
              <w:b w:val="0"/>
              <w:bCs/>
              <w:sz w:val="28"/>
              <w:szCs w:val="28"/>
              <w:highlight w:val="none"/>
            </w:rPr>
            <w:tab/>
          </w:r>
          <w:r>
            <w:rPr>
              <w:rFonts w:hint="eastAsia" w:ascii="黑体" w:hAnsi="黑体" w:eastAsia="黑体" w:cs="黑体"/>
              <w:b w:val="0"/>
              <w:bCs/>
              <w:sz w:val="28"/>
              <w:szCs w:val="28"/>
              <w:highlight w:val="none"/>
            </w:rPr>
            <w:fldChar w:fldCharType="begin"/>
          </w:r>
          <w:r>
            <w:rPr>
              <w:rFonts w:hint="eastAsia" w:ascii="黑体" w:hAnsi="黑体" w:eastAsia="黑体" w:cs="黑体"/>
              <w:b w:val="0"/>
              <w:bCs/>
              <w:sz w:val="28"/>
              <w:szCs w:val="28"/>
              <w:highlight w:val="none"/>
            </w:rPr>
            <w:instrText xml:space="preserve"> PAGEREF _Toc11709 \h </w:instrText>
          </w:r>
          <w:r>
            <w:rPr>
              <w:rFonts w:hint="eastAsia" w:ascii="黑体" w:hAnsi="黑体" w:eastAsia="黑体" w:cs="黑体"/>
              <w:b w:val="0"/>
              <w:bCs/>
              <w:sz w:val="28"/>
              <w:szCs w:val="28"/>
              <w:highlight w:val="none"/>
            </w:rPr>
            <w:fldChar w:fldCharType="separate"/>
          </w:r>
          <w:r>
            <w:rPr>
              <w:rFonts w:hint="eastAsia" w:ascii="黑体" w:hAnsi="黑体" w:eastAsia="黑体" w:cs="黑体"/>
              <w:b w:val="0"/>
              <w:bCs/>
              <w:sz w:val="28"/>
              <w:szCs w:val="28"/>
              <w:highlight w:val="none"/>
            </w:rPr>
            <w:t>1</w:t>
          </w:r>
          <w:r>
            <w:rPr>
              <w:rFonts w:hint="eastAsia" w:ascii="黑体" w:hAnsi="黑体" w:eastAsia="黑体" w:cs="黑体"/>
              <w:b w:val="0"/>
              <w:bCs/>
              <w:sz w:val="28"/>
              <w:szCs w:val="28"/>
              <w:highlight w:val="none"/>
              <w:lang w:val="en-US" w:eastAsia="zh-CN"/>
            </w:rPr>
            <w:t>2</w:t>
          </w:r>
          <w:r>
            <w:rPr>
              <w:rFonts w:hint="eastAsia" w:ascii="黑体" w:hAnsi="黑体" w:eastAsia="黑体" w:cs="黑体"/>
              <w:b w:val="0"/>
              <w:bCs/>
              <w:sz w:val="28"/>
              <w:szCs w:val="28"/>
              <w:highlight w:val="none"/>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p>
        <w:p w14:paraId="3A044A47">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_Toc18995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八</w:t>
          </w:r>
          <w:r>
            <w:rPr>
              <w:rFonts w:hint="eastAsia" w:ascii="黑体" w:hAnsi="黑体" w:eastAsia="黑体" w:cs="黑体"/>
              <w:b w:val="0"/>
              <w:bCs/>
              <w:sz w:val="28"/>
              <w:szCs w:val="28"/>
              <w:highlight w:val="none"/>
              <w:lang w:val="en-US" w:eastAsia="zh-CN"/>
            </w:rPr>
            <w:t>、本行</w:t>
          </w:r>
          <w:r>
            <w:rPr>
              <w:rFonts w:hint="eastAsia" w:ascii="黑体" w:hAnsi="黑体" w:eastAsia="黑体" w:cs="黑体"/>
              <w:b w:val="0"/>
              <w:bCs/>
              <w:sz w:val="28"/>
              <w:szCs w:val="28"/>
              <w:highlight w:val="none"/>
              <w:lang w:val="en-US" w:eastAsia="zh-CN"/>
            </w:rPr>
            <w:t>经营活动的环境影响</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17</w:t>
          </w:r>
        </w:p>
        <w:p w14:paraId="6DC6B191">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_Toc21917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lang w:val="en-US" w:eastAsia="zh-CN"/>
            </w:rPr>
            <w:t>九</w:t>
          </w:r>
          <w:r>
            <w:rPr>
              <w:rFonts w:hint="eastAsia" w:ascii="黑体" w:hAnsi="黑体" w:eastAsia="黑体" w:cs="黑体"/>
              <w:b w:val="0"/>
              <w:bCs/>
              <w:sz w:val="28"/>
              <w:szCs w:val="28"/>
              <w:highlight w:val="none"/>
              <w:lang w:val="en-US" w:eastAsia="zh-CN"/>
            </w:rPr>
            <w:t>、本行</w:t>
          </w:r>
          <w:r>
            <w:rPr>
              <w:rFonts w:hint="eastAsia" w:ascii="黑体" w:hAnsi="黑体" w:eastAsia="黑体" w:cs="黑体"/>
              <w:b w:val="0"/>
              <w:bCs/>
              <w:sz w:val="28"/>
              <w:szCs w:val="28"/>
              <w:highlight w:val="none"/>
              <w:lang w:val="en-US" w:eastAsia="zh-CN"/>
            </w:rPr>
            <w:t>环保措施所产生的环境效益</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20</w:t>
          </w:r>
        </w:p>
        <w:p w14:paraId="2EACAB64">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_Toc16128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shd w:val="clear"/>
              <w:lang w:val="en-US" w:eastAsia="zh-CN"/>
            </w:rPr>
            <w:t>十、</w:t>
          </w:r>
          <w:r>
            <w:rPr>
              <w:rFonts w:hint="eastAsia" w:ascii="黑体" w:hAnsi="黑体" w:eastAsia="黑体" w:cs="黑体"/>
              <w:b w:val="0"/>
              <w:bCs/>
              <w:sz w:val="28"/>
              <w:szCs w:val="28"/>
              <w:highlight w:val="none"/>
              <w:lang w:val="en-US" w:eastAsia="zh-CN"/>
            </w:rPr>
            <w:t>数据梳理、校验及保护</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21</w:t>
          </w:r>
        </w:p>
        <w:p w14:paraId="15F82F92">
          <w:pPr>
            <w:pStyle w:val="12"/>
            <w:tabs>
              <w:tab w:val="right" w:leader="dot" w:pos="8306"/>
            </w:tabs>
            <w:rPr>
              <w:rFonts w:hint="default" w:ascii="黑体" w:hAnsi="黑体" w:eastAsia="黑体" w:cs="黑体"/>
              <w:b w:val="0"/>
              <w:bCs/>
              <w:sz w:val="28"/>
              <w:szCs w:val="28"/>
              <w:highlight w:val="none"/>
              <w:lang w:val="en-US"/>
            </w:rPr>
          </w:pP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begin"/>
          </w:r>
          <w:r>
            <w:rPr>
              <w:rFonts w:hint="eastAsia" w:ascii="黑体" w:hAnsi="黑体" w:eastAsia="黑体" w:cs="黑体"/>
              <w:b w:val="0"/>
              <w:bCs/>
              <w:sz w:val="28"/>
              <w:szCs w:val="28"/>
              <w:highlight w:val="none"/>
              <w:lang w:val="en-US" w:eastAsia="zh-CN"/>
            </w:rPr>
            <w:instrText xml:space="preserve"> HYPERLINK \l _Toc5216 </w:instrText>
          </w:r>
          <w:r>
            <w:rPr>
              <w:rFonts w:hint="eastAsia" w:ascii="黑体" w:hAnsi="黑体" w:eastAsia="黑体" w:cs="黑体"/>
              <w:b w:val="0"/>
              <w:bCs/>
              <w:sz w:val="28"/>
              <w:szCs w:val="28"/>
              <w:highlight w:val="none"/>
              <w:lang w:val="en-US" w:eastAsia="zh-CN"/>
            </w:rPr>
            <w:fldChar w:fldCharType="separate"/>
          </w:r>
          <w:r>
            <w:rPr>
              <w:rFonts w:hint="eastAsia" w:ascii="黑体" w:hAnsi="黑体" w:eastAsia="黑体" w:cs="黑体"/>
              <w:b w:val="0"/>
              <w:bCs/>
              <w:sz w:val="28"/>
              <w:szCs w:val="28"/>
              <w:highlight w:val="none"/>
              <w:shd w:val="clear"/>
              <w:lang w:val="en-US" w:eastAsia="zh-CN"/>
            </w:rPr>
            <w:t>十一、</w:t>
          </w:r>
          <w:r>
            <w:rPr>
              <w:rFonts w:hint="eastAsia" w:ascii="黑体" w:hAnsi="黑体" w:eastAsia="黑体" w:cs="黑体"/>
              <w:b w:val="0"/>
              <w:bCs/>
              <w:sz w:val="28"/>
              <w:szCs w:val="28"/>
              <w:highlight w:val="none"/>
              <w:lang w:val="en-US" w:eastAsia="zh-CN"/>
            </w:rPr>
            <w:t>绿色金融创新及研究成果</w:t>
          </w:r>
          <w:r>
            <w:rPr>
              <w:rFonts w:hint="eastAsia" w:ascii="黑体" w:hAnsi="黑体" w:eastAsia="黑体" w:cs="黑体"/>
              <w:b w:val="0"/>
              <w:bCs/>
              <w:sz w:val="28"/>
              <w:szCs w:val="28"/>
              <w:highlight w:val="none"/>
            </w:rPr>
            <w:tab/>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fldChar w:fldCharType="end"/>
          </w:r>
          <w:r>
            <w:rPr>
              <w:rFonts w:hint="eastAsia" w:ascii="黑体" w:hAnsi="黑体" w:eastAsia="黑体" w:cs="黑体"/>
              <w:b w:val="0"/>
              <w:bCs/>
              <w:color w:val="000000" w:themeColor="text1"/>
              <w:sz w:val="28"/>
              <w:szCs w:val="28"/>
              <w:highlight w:val="none"/>
              <w:lang w:val="en-US" w:eastAsia="zh-CN"/>
              <w14:textFill>
                <w14:solidFill>
                  <w14:schemeClr w14:val="tx1"/>
                </w14:solidFill>
              </w14:textFill>
            </w:rPr>
            <w:t>22</w:t>
          </w:r>
        </w:p>
        <w:p w14:paraId="6511E2E1">
          <w:pPr>
            <w:pStyle w:val="12"/>
            <w:tabs>
              <w:tab w:val="right" w:leader="dot" w:pos="8306"/>
            </w:tabs>
            <w:rPr>
              <w:rFonts w:hint="eastAsia" w:ascii="黑体" w:hAnsi="黑体" w:eastAsia="黑体" w:cs="黑体"/>
              <w:sz w:val="28"/>
              <w:szCs w:val="28"/>
              <w:highlight w:val="none"/>
            </w:rPr>
          </w:pPr>
        </w:p>
        <w:p w14:paraId="422B90DD">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b/>
              <w:bCs/>
              <w:color w:val="000000" w:themeColor="text1"/>
              <w:sz w:val="36"/>
              <w:szCs w:val="36"/>
              <w:highlight w:val="none"/>
              <w:lang w:val="en-US" w:eastAsia="zh-CN"/>
              <w14:textFill>
                <w14:solidFill>
                  <w14:schemeClr w14:val="tx1"/>
                </w14:solidFill>
              </w14:textFill>
            </w:rPr>
          </w:pPr>
          <w:r>
            <w:rPr>
              <w:rFonts w:hint="eastAsia" w:ascii="黑体" w:hAnsi="黑体" w:eastAsia="黑体" w:cs="黑体"/>
              <w:bCs/>
              <w:color w:val="000000" w:themeColor="text1"/>
              <w:szCs w:val="36"/>
              <w:highlight w:val="none"/>
              <w:lang w:val="en-US" w:eastAsia="zh-CN"/>
              <w14:textFill>
                <w14:solidFill>
                  <w14:schemeClr w14:val="tx1"/>
                </w14:solidFill>
              </w14:textFill>
            </w:rPr>
            <w:fldChar w:fldCharType="end"/>
          </w:r>
        </w:p>
      </w:sdtContent>
    </w:sdt>
    <w:p w14:paraId="4A3E4279">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b/>
          <w:bCs/>
          <w:color w:val="000000" w:themeColor="text1"/>
          <w:sz w:val="36"/>
          <w:szCs w:val="36"/>
          <w:highlight w:val="none"/>
          <w:lang w:val="en-US" w:eastAsia="zh-CN"/>
          <w14:textFill>
            <w14:solidFill>
              <w14:schemeClr w14:val="tx1"/>
            </w14:solidFill>
          </w14:textFill>
        </w:rPr>
      </w:pPr>
    </w:p>
    <w:p w14:paraId="27F33A7E">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b/>
          <w:bCs/>
          <w:color w:val="000000" w:themeColor="text1"/>
          <w:sz w:val="36"/>
          <w:szCs w:val="36"/>
          <w:highlight w:val="none"/>
          <w:lang w:val="en-US" w:eastAsia="zh-CN"/>
          <w14:textFill>
            <w14:solidFill>
              <w14:schemeClr w14:val="tx1"/>
            </w14:solidFill>
          </w14:textFill>
        </w:rPr>
      </w:pPr>
    </w:p>
    <w:p w14:paraId="63672A19">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b/>
          <w:bCs/>
          <w:color w:val="000000" w:themeColor="text1"/>
          <w:sz w:val="36"/>
          <w:szCs w:val="36"/>
          <w:highlight w:val="none"/>
          <w:lang w:val="en-US" w:eastAsia="zh-CN"/>
          <w14:textFill>
            <w14:solidFill>
              <w14:schemeClr w14:val="tx1"/>
            </w14:solidFill>
          </w14:textFill>
        </w:rPr>
      </w:pPr>
    </w:p>
    <w:p w14:paraId="26C7FFAD">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0" w:leftChars="0" w:firstLine="0" w:firstLineChars="0"/>
        <w:jc w:val="both"/>
        <w:textAlignment w:val="auto"/>
        <w:outlineLvl w:val="0"/>
        <w:rPr>
          <w:rFonts w:hint="eastAsia" w:ascii="黑体" w:hAnsi="黑体" w:eastAsia="黑体" w:cs="黑体"/>
          <w:b/>
          <w:bCs/>
          <w:color w:val="000000" w:themeColor="text1"/>
          <w:sz w:val="36"/>
          <w:szCs w:val="36"/>
          <w:highlight w:val="none"/>
          <w:lang w:val="en-US" w:eastAsia="zh-CN"/>
          <w14:textFill>
            <w14:solidFill>
              <w14:schemeClr w14:val="tx1"/>
            </w14:solidFill>
          </w14:textFill>
        </w:rPr>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8" w:name="_Toc29138"/>
    </w:p>
    <w:p w14:paraId="3D6F9F0B">
      <w:pPr>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left="0" w:leftChars="0" w:firstLine="0" w:firstLineChars="0"/>
        <w:jc w:val="center"/>
        <w:textAlignment w:val="auto"/>
        <w:outlineLvl w:val="0"/>
        <w:rPr>
          <w:rFonts w:hint="default"/>
          <w:b w:val="0"/>
          <w:bCs w:val="0"/>
          <w:highlight w:val="none"/>
          <w:lang w:val="en-US" w:eastAsia="zh-CN"/>
        </w:rPr>
      </w:pPr>
      <w:r>
        <w:rPr>
          <w:rFonts w:hint="eastAsia" w:ascii="黑体" w:hAnsi="黑体" w:eastAsia="黑体" w:cs="黑体"/>
          <w:b w:val="0"/>
          <w:bCs w:val="0"/>
          <w:color w:val="000000" w:themeColor="text1"/>
          <w:sz w:val="36"/>
          <w:szCs w:val="36"/>
          <w:highlight w:val="none"/>
          <w:lang w:val="en-US" w:eastAsia="zh-CN"/>
          <w14:textFill>
            <w14:solidFill>
              <w14:schemeClr w14:val="tx1"/>
            </w14:solidFill>
          </w14:textFill>
        </w:rPr>
        <w:t>关于本报告</w:t>
      </w:r>
      <w:bookmarkEnd w:id="8"/>
    </w:p>
    <w:p w14:paraId="6BC1231D">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0" w:firstLineChars="200"/>
        <w:jc w:val="both"/>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环境信息披露</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是金融机构承担环境与社会责任的重要举措</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不仅有助于金融机构梳理自身绿色金融发展与环境影响的具体情况，也是金融机构将“双碳”战略部署落在实处的重要体现，为进一步做好环境信息披露工作，</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江苏</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盐城</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农村商业银行</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股份有限公司在中国人民银行盐城市分行的指导下，</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参照</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《江苏省银行业金融机构环境信息披露指引（试行）》（苏银发〔2024〕49号）</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要求，</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结合</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江苏</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盐城</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农村商业银行</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股份有限公司绿色金融发展实际情况</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编制</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本</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报告</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w:t>
      </w:r>
    </w:p>
    <w:p w14:paraId="4F901F57">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jc w:val="both"/>
        <w:textAlignment w:val="auto"/>
        <w:outlineLvl w:val="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bookmarkStart w:id="9" w:name="_Toc6230"/>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报告组织范围：</w:t>
      </w:r>
      <w:bookmarkEnd w:id="9"/>
    </w:p>
    <w:p w14:paraId="24699F32">
      <w:pPr>
        <w:keepNext w:val="0"/>
        <w:keepLines w:val="0"/>
        <w:pageBreakBefore w:val="0"/>
        <w:widowControl w:val="0"/>
        <w:kinsoku/>
        <w:wordWrap/>
        <w:overflowPunct/>
        <w:topLinePunct w:val="0"/>
        <w:autoSpaceDE/>
        <w:autoSpaceDN/>
        <w:bidi w:val="0"/>
        <w:adjustRightInd/>
        <w:snapToGrid/>
        <w:spacing w:afterLines="0" w:line="560" w:lineRule="exac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sz w:val="32"/>
          <w:szCs w:val="32"/>
          <w:highlight w:val="none"/>
          <w:shd w:val="clear"/>
          <w:lang w:val="en-US" w:eastAsia="zh-CN"/>
        </w:rPr>
        <w:t>江苏盐城农村商业银行股份有限公司及所辖支行、网点</w:t>
      </w:r>
    </w:p>
    <w:p w14:paraId="4B8A1BC2">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报告时间范围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14:paraId="3539610C">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0" w:firstLineChars="200"/>
        <w:jc w:val="both"/>
        <w:textAlignment w:val="auto"/>
        <w:rPr>
          <w:rFonts w:hint="eastAsia" w:ascii="仿宋_GB2312" w:hAnsi="仿宋_GB2312" w:eastAsia="仿宋_GB2312" w:cs="仿宋_GB2312"/>
          <w:sz w:val="32"/>
          <w:szCs w:val="32"/>
          <w:highlight w:val="none"/>
          <w:shd w:val="clear"/>
          <w:lang w:val="en-US" w:eastAsia="zh-CN"/>
        </w:rPr>
      </w:pPr>
      <w:r>
        <w:rPr>
          <w:rFonts w:hint="eastAsia" w:ascii="仿宋_GB2312" w:hAnsi="仿宋_GB2312" w:eastAsia="仿宋_GB2312" w:cs="仿宋_GB2312"/>
          <w:sz w:val="32"/>
          <w:szCs w:val="32"/>
          <w:highlight w:val="none"/>
          <w:shd w:val="clear"/>
          <w:lang w:val="en-US" w:eastAsia="zh-CN"/>
        </w:rPr>
        <w:t>2024年1月1日至2024年12月31日</w:t>
      </w:r>
    </w:p>
    <w:p w14:paraId="3311560A">
      <w:pPr>
        <w:pStyle w:val="2"/>
        <w:jc w:val="both"/>
        <w:rPr>
          <w:rFonts w:hint="eastAsia" w:ascii="仿宋_GB2312" w:hAnsi="仿宋_GB2312" w:eastAsia="仿宋_GB2312" w:cs="仿宋_GB2312"/>
          <w:sz w:val="32"/>
          <w:szCs w:val="32"/>
          <w:highlight w:val="none"/>
          <w:shd w:val="clear"/>
          <w:lang w:val="en-US" w:eastAsia="zh-CN"/>
        </w:rPr>
      </w:pPr>
      <w:r>
        <w:rPr>
          <w:rFonts w:hint="eastAsia" w:ascii="仿宋_GB2312" w:hAnsi="仿宋_GB2312" w:eastAsia="仿宋_GB2312" w:cs="仿宋_GB2312"/>
          <w:sz w:val="32"/>
          <w:szCs w:val="32"/>
          <w:highlight w:val="none"/>
          <w:shd w:val="clear"/>
          <w:lang w:val="en-US" w:eastAsia="zh-CN"/>
        </w:rPr>
        <w:t>编制依据：</w:t>
      </w:r>
    </w:p>
    <w:p w14:paraId="386367AA">
      <w:pPr>
        <w:keepNext w:val="0"/>
        <w:keepLines w:val="0"/>
        <w:pageBreakBefore w:val="0"/>
        <w:widowControl w:val="0"/>
        <w:kinsoku/>
        <w:wordWrap/>
        <w:overflowPunct/>
        <w:topLinePunct w:val="0"/>
        <w:autoSpaceDE/>
        <w:autoSpaceDN/>
        <w:bidi w:val="0"/>
        <w:adjustRightInd/>
        <w:snapToGrid/>
        <w:spacing w:afterLines="0" w:line="560" w:lineRule="exact"/>
        <w:textAlignment w:val="auto"/>
        <w:rPr>
          <w:rFonts w:hint="default" w:ascii="仿宋_GB2312" w:hAnsi="仿宋_GB2312" w:eastAsia="仿宋_GB2312" w:cs="仿宋_GB2312"/>
          <w:sz w:val="32"/>
          <w:szCs w:val="32"/>
          <w:highlight w:val="none"/>
          <w:shd w:val="clear"/>
          <w:lang w:val="en-US" w:eastAsia="zh-CN"/>
        </w:rPr>
      </w:pPr>
      <w:r>
        <w:rPr>
          <w:rFonts w:hint="eastAsia" w:ascii="仿宋_GB2312" w:hAnsi="仿宋_GB2312" w:eastAsia="仿宋_GB2312" w:cs="仿宋_GB2312"/>
          <w:sz w:val="32"/>
          <w:szCs w:val="32"/>
          <w:highlight w:val="none"/>
          <w:shd w:val="clear"/>
          <w:lang w:val="en-US" w:eastAsia="zh-CN"/>
        </w:rPr>
        <w:t>本报告遵循中国人民银行发布的《金融机构环境信息披露指南》《银行业金融机构环境信息披露操作手册》《江苏省银行业金融机构环境信息披露指引（试行）》等文件中环境披露要求，结合江苏盐城农村商业银行股份有限公司的绿色金融发展实际情况进行编制。</w:t>
      </w:r>
    </w:p>
    <w:p w14:paraId="6D39D3A4">
      <w:pPr>
        <w:pStyle w:val="2"/>
        <w:jc w:val="both"/>
        <w:rPr>
          <w:rFonts w:hint="default" w:ascii="仿宋_GB2312" w:hAnsi="仿宋_GB2312" w:eastAsia="仿宋_GB2312" w:cs="仿宋_GB2312"/>
          <w:sz w:val="32"/>
          <w:szCs w:val="32"/>
          <w:highlight w:val="none"/>
          <w:shd w:val="clear"/>
          <w:lang w:val="en-US" w:eastAsia="zh-CN"/>
        </w:rPr>
      </w:pPr>
      <w:r>
        <w:rPr>
          <w:rFonts w:hint="default" w:ascii="仿宋_GB2312" w:hAnsi="仿宋_GB2312" w:eastAsia="仿宋_GB2312" w:cs="仿宋_GB2312"/>
          <w:sz w:val="32"/>
          <w:szCs w:val="32"/>
          <w:highlight w:val="none"/>
          <w:shd w:val="clear"/>
          <w:lang w:val="en-US" w:eastAsia="zh-CN"/>
        </w:rPr>
        <w:t>指代说明：</w:t>
      </w:r>
    </w:p>
    <w:p w14:paraId="53F67624">
      <w:pPr>
        <w:keepNext w:val="0"/>
        <w:keepLines w:val="0"/>
        <w:pageBreakBefore w:val="0"/>
        <w:widowControl w:val="0"/>
        <w:kinsoku/>
        <w:wordWrap/>
        <w:overflowPunct/>
        <w:topLinePunct w:val="0"/>
        <w:autoSpaceDE/>
        <w:autoSpaceDN/>
        <w:bidi w:val="0"/>
        <w:adjustRightInd/>
        <w:snapToGrid/>
        <w:spacing w:afterLines="0" w:line="560" w:lineRule="exact"/>
        <w:textAlignment w:val="auto"/>
        <w:rPr>
          <w:rFonts w:hint="default"/>
          <w:highlight w:val="none"/>
          <w:lang w:val="en-US" w:eastAsia="zh-CN"/>
        </w:rPr>
      </w:pPr>
      <w:bookmarkStart w:id="10" w:name="_Toc7884_WPSOffice_Level2"/>
      <w:r>
        <w:rPr>
          <w:rFonts w:hint="eastAsia" w:ascii="仿宋_GB2312" w:hAnsi="仿宋_GB2312" w:eastAsia="仿宋_GB2312" w:cs="仿宋_GB2312"/>
          <w:sz w:val="32"/>
          <w:szCs w:val="32"/>
          <w:highlight w:val="none"/>
          <w:shd w:val="clear"/>
          <w:lang w:val="en-US" w:eastAsia="zh-CN"/>
        </w:rPr>
        <w:t>本行/我们/公司</w:t>
      </w:r>
      <w:bookmarkEnd w:id="10"/>
      <w:r>
        <w:rPr>
          <w:rFonts w:hint="eastAsia" w:ascii="仿宋_GB2312" w:hAnsi="仿宋_GB2312" w:eastAsia="仿宋_GB2312" w:cs="仿宋_GB2312"/>
          <w:sz w:val="32"/>
          <w:szCs w:val="32"/>
          <w:highlight w:val="none"/>
          <w:shd w:val="clear"/>
          <w:lang w:val="en-US" w:eastAsia="zh-CN"/>
        </w:rPr>
        <w:t>指江苏盐城农村商业银行股份有限公司及其分支机构</w:t>
      </w:r>
    </w:p>
    <w:p w14:paraId="26E54DA1">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jc w:val="both"/>
        <w:textAlignment w:val="auto"/>
        <w:outlineLvl w:val="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发布周期：</w:t>
      </w:r>
    </w:p>
    <w:p w14:paraId="32BD470D">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0" w:firstLineChars="200"/>
        <w:jc w:val="both"/>
        <w:textAlignment w:val="auto"/>
        <w:rPr>
          <w:rFonts w:hint="eastAsia"/>
          <w:highlight w:val="none"/>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本报告为年度报告</w:t>
      </w:r>
    </w:p>
    <w:p w14:paraId="0064B183">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jc w:val="both"/>
        <w:textAlignment w:val="auto"/>
        <w:outlineLvl w:val="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bookmarkStart w:id="11" w:name="_Toc4640"/>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编制原则：</w:t>
      </w:r>
      <w:bookmarkEnd w:id="11"/>
    </w:p>
    <w:p w14:paraId="7BE79A36">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shd w:val="clear"/>
          <w:lang w:val="en-US" w:eastAsia="zh-CN"/>
        </w:rPr>
        <w:t>真实性、及时性、一致性</w:t>
      </w:r>
    </w:p>
    <w:p w14:paraId="51D2FF37">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jc w:val="both"/>
        <w:textAlignment w:val="auto"/>
        <w:outlineLvl w:val="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bookmarkStart w:id="12" w:name="_Toc2049"/>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数据说明：</w:t>
      </w:r>
      <w:bookmarkEnd w:id="12"/>
    </w:p>
    <w:p w14:paraId="24302F6C">
      <w:pPr>
        <w:keepNext w:val="0"/>
        <w:keepLines w:val="0"/>
        <w:pageBreakBefore w:val="0"/>
        <w:widowControl w:val="0"/>
        <w:kinsoku/>
        <w:wordWrap/>
        <w:overflowPunct/>
        <w:topLinePunct w:val="0"/>
        <w:autoSpaceDE/>
        <w:autoSpaceDN/>
        <w:bidi w:val="0"/>
        <w:adjustRightInd/>
        <w:snapToGrid/>
        <w:spacing w:afterLines="0" w:line="560" w:lineRule="exact"/>
        <w:textAlignment w:val="auto"/>
        <w:rPr>
          <w:rFonts w:hint="eastAsia" w:ascii="仿宋_GB2312" w:hAnsi="仿宋_GB2312" w:eastAsia="仿宋_GB2312" w:cs="仿宋_GB2312"/>
          <w:sz w:val="32"/>
          <w:szCs w:val="32"/>
          <w:highlight w:val="none"/>
          <w:shd w:val="clear" w:fill="FFC000" w:themeFill="accent4"/>
          <w:lang w:val="en-US" w:eastAsia="zh-CN"/>
        </w:rPr>
      </w:pPr>
      <w:r>
        <w:rPr>
          <w:rFonts w:hint="eastAsia" w:ascii="仿宋_GB2312" w:hAnsi="仿宋_GB2312" w:eastAsia="仿宋_GB2312" w:cs="仿宋_GB2312"/>
          <w:sz w:val="32"/>
          <w:szCs w:val="32"/>
          <w:highlight w:val="none"/>
          <w:shd w:val="clear"/>
          <w:lang w:val="en-US" w:eastAsia="zh-CN"/>
        </w:rPr>
        <w:t>本报告中的数据以2024年1月1日至2024年12月31日期间为主，部分包括2024年之前数据，主要来自江苏盐城农村商业银行股份有限公司内部文件和相关统计资料，本报告涉及币种均为人民币。</w:t>
      </w:r>
    </w:p>
    <w:p w14:paraId="760A9DE3">
      <w:pPr>
        <w:keepNext w:val="0"/>
        <w:keepLines w:val="0"/>
        <w:pageBreakBefore w:val="0"/>
        <w:widowControl w:val="0"/>
        <w:numPr>
          <w:ilvl w:val="0"/>
          <w:numId w:val="0"/>
        </w:numPr>
        <w:kinsoku/>
        <w:wordWrap/>
        <w:overflowPunct/>
        <w:topLinePunct w:val="0"/>
        <w:autoSpaceDE/>
        <w:autoSpaceDN/>
        <w:bidi w:val="0"/>
        <w:adjustRightInd/>
        <w:snapToGrid/>
        <w:spacing w:afterLines="0" w:line="560" w:lineRule="exact"/>
        <w:ind w:left="0" w:leftChars="0" w:firstLine="643" w:firstLineChars="200"/>
        <w:textAlignment w:val="auto"/>
        <w:outlineLvl w:val="0"/>
        <w:rPr>
          <w:rFonts w:hint="eastAsia" w:ascii="仿宋_GB2312" w:hAnsi="仿宋_GB2312" w:eastAsia="仿宋_GB2312" w:cs="仿宋_GB2312"/>
          <w:sz w:val="32"/>
          <w:szCs w:val="32"/>
          <w:highlight w:val="none"/>
          <w:shd w:val="clear"/>
          <w:lang w:val="en-US" w:eastAsia="zh-CN"/>
        </w:rPr>
      </w:pPr>
      <w:bookmarkStart w:id="13" w:name="_Toc16661"/>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发布形式：</w:t>
      </w:r>
      <w:bookmarkEnd w:id="13"/>
    </w:p>
    <w:p w14:paraId="18F90EB5">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60" w:lineRule="exact"/>
        <w:ind w:left="0" w:leftChars="0" w:firstLine="640" w:firstLineChars="200"/>
        <w:textAlignment w:val="auto"/>
        <w:outlineLvl w:val="0"/>
        <w:rPr>
          <w:rFonts w:hint="eastAsia" w:ascii="仿宋_GB2312" w:hAnsi="仿宋_GB2312" w:eastAsia="仿宋_GB2312" w:cs="仿宋_GB2312"/>
          <w:sz w:val="32"/>
          <w:szCs w:val="32"/>
          <w:highlight w:val="none"/>
          <w:shd w:val="clear" w:fill="FFC000" w:themeFill="accent4"/>
          <w:lang w:val="en-US" w:eastAsia="zh-CN"/>
        </w:rPr>
      </w:pPr>
      <w:r>
        <w:rPr>
          <w:rFonts w:hint="eastAsia" w:ascii="仿宋_GB2312" w:hAnsi="仿宋_GB2312" w:eastAsia="仿宋_GB2312" w:cs="仿宋_GB2312"/>
          <w:sz w:val="32"/>
          <w:szCs w:val="32"/>
          <w:highlight w:val="none"/>
          <w:shd w:val="clear"/>
          <w:lang w:val="en-US" w:eastAsia="zh-CN"/>
        </w:rPr>
        <w:t>本报告以电子版形式发布在本行官网（www.jsycrcb.com）</w:t>
      </w:r>
    </w:p>
    <w:p w14:paraId="7F132A56">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60" w:lineRule="exact"/>
        <w:ind w:left="0" w:leftChars="0" w:firstLine="643" w:firstLineChars="200"/>
        <w:jc w:val="both"/>
        <w:textAlignment w:val="auto"/>
        <w:outlineLvl w:val="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bookmarkStart w:id="14" w:name="_Toc6947"/>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联系方式：</w:t>
      </w:r>
      <w:bookmarkEnd w:id="14"/>
    </w:p>
    <w:p w14:paraId="132E4BF0">
      <w:pPr>
        <w:keepNext w:val="0"/>
        <w:keepLines w:val="0"/>
        <w:pageBreakBefore w:val="0"/>
        <w:widowControl w:val="0"/>
        <w:numPr>
          <w:ilvl w:val="0"/>
          <w:numId w:val="4"/>
        </w:numPr>
        <w:kinsoku/>
        <w:wordWrap/>
        <w:overflowPunct/>
        <w:topLinePunct w:val="0"/>
        <w:autoSpaceDE/>
        <w:autoSpaceDN/>
        <w:bidi w:val="0"/>
        <w:adjustRightInd w:val="0"/>
        <w:snapToGrid w:val="0"/>
        <w:spacing w:afterLines="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联系地址：江苏省盐城市新都西路8号</w:t>
      </w:r>
    </w:p>
    <w:p w14:paraId="7866F00A">
      <w:pPr>
        <w:keepNext w:val="0"/>
        <w:keepLines w:val="0"/>
        <w:pageBreakBefore w:val="0"/>
        <w:widowControl w:val="0"/>
        <w:numPr>
          <w:ilvl w:val="0"/>
          <w:numId w:val="4"/>
        </w:numPr>
        <w:kinsoku/>
        <w:wordWrap/>
        <w:overflowPunct/>
        <w:topLinePunct w:val="0"/>
        <w:autoSpaceDE/>
        <w:autoSpaceDN/>
        <w:bidi w:val="0"/>
        <w:adjustRightInd w:val="0"/>
        <w:snapToGrid w:val="0"/>
        <w:spacing w:afterLines="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电子邮箱：ycnsyhbgs.com</w:t>
      </w:r>
    </w:p>
    <w:p w14:paraId="3328EB58">
      <w:pPr>
        <w:keepNext w:val="0"/>
        <w:keepLines w:val="0"/>
        <w:pageBreakBefore w:val="0"/>
        <w:widowControl w:val="0"/>
        <w:numPr>
          <w:ilvl w:val="0"/>
          <w:numId w:val="4"/>
        </w:numPr>
        <w:kinsoku/>
        <w:wordWrap/>
        <w:overflowPunct/>
        <w:topLinePunct w:val="0"/>
        <w:autoSpaceDE/>
        <w:autoSpaceDN/>
        <w:bidi w:val="0"/>
        <w:adjustRightInd w:val="0"/>
        <w:snapToGrid w:val="0"/>
        <w:spacing w:afterLines="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联系电话：0515-88350328</w:t>
      </w:r>
    </w:p>
    <w:p w14:paraId="091024AD">
      <w:pPr>
        <w:pStyle w:val="14"/>
        <w:keepNext w:val="0"/>
        <w:keepLines w:val="0"/>
        <w:pageBreakBefore w:val="0"/>
        <w:widowControl/>
        <w:suppressLineNumbers w:val="0"/>
        <w:shd w:val="clear" w:fill="FFFFFF"/>
        <w:kinsoku/>
        <w:wordWrap/>
        <w:overflowPunct/>
        <w:topLinePunct w:val="0"/>
        <w:autoSpaceDE/>
        <w:autoSpaceDN/>
        <w:bidi w:val="0"/>
        <w:adjustRightInd/>
        <w:snapToGrid/>
        <w:spacing w:afterLines="0" w:line="560" w:lineRule="exact"/>
        <w:textAlignment w:val="auto"/>
        <w:rPr>
          <w:rFonts w:hint="eastAsia" w:ascii="仿宋_GB2312" w:hAnsi="仿宋_GB2312" w:eastAsia="仿宋_GB2312" w:cs="仿宋_GB2312"/>
          <w:sz w:val="32"/>
          <w:szCs w:val="32"/>
          <w:highlight w:val="none"/>
          <w:lang w:val="en-US" w:eastAsia="zh-CN"/>
        </w:rPr>
      </w:pPr>
      <w:bookmarkStart w:id="15" w:name="_Toc22755"/>
      <w:r>
        <w:rPr>
          <w:rFonts w:hint="eastAsia" w:ascii="仿宋_GB2312" w:hAnsi="仿宋_GB2312" w:eastAsia="仿宋_GB2312" w:cs="仿宋_GB2312"/>
          <w:sz w:val="32"/>
          <w:szCs w:val="32"/>
          <w:highlight w:val="none"/>
        </w:rPr>
        <w:br w:type="page"/>
      </w:r>
    </w:p>
    <w:bookmarkEnd w:id="15"/>
    <w:p w14:paraId="265AF1AC">
      <w:pPr>
        <w:keepNext w:val="0"/>
        <w:keepLines w:val="0"/>
        <w:pageBreakBefore w:val="0"/>
        <w:widowControl w:val="0"/>
        <w:numPr>
          <w:ilvl w:val="0"/>
          <w:numId w:val="5"/>
        </w:numPr>
        <w:kinsoku/>
        <w:wordWrap/>
        <w:overflowPunct/>
        <w:topLinePunct w:val="0"/>
        <w:autoSpaceDE/>
        <w:autoSpaceDN/>
        <w:bidi w:val="0"/>
        <w:adjustRightInd/>
        <w:snapToGrid/>
        <w:spacing w:before="0" w:beforeLines="0" w:after="0" w:afterLines="0" w:line="560" w:lineRule="exact"/>
        <w:ind w:left="0" w:leftChars="0" w:firstLine="0" w:firstLineChars="0"/>
        <w:jc w:val="center"/>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bookmarkStart w:id="16" w:name="一、年度概况"/>
      <w:r>
        <w:rPr>
          <w:rFonts w:hint="eastAsia" w:ascii="黑体" w:hAnsi="黑体" w:eastAsia="黑体" w:cs="黑体"/>
          <w:color w:val="000000" w:themeColor="text1"/>
          <w:sz w:val="32"/>
          <w:szCs w:val="32"/>
          <w:highlight w:val="none"/>
          <w:lang w:val="en-US" w:eastAsia="zh-CN"/>
          <w14:textFill>
            <w14:solidFill>
              <w14:schemeClr w14:val="tx1"/>
            </w14:solidFill>
          </w14:textFill>
        </w:rPr>
        <w:t>总体概况</w:t>
      </w:r>
    </w:p>
    <w:p w14:paraId="4F6D5A1A">
      <w:pPr>
        <w:pStyle w:val="9"/>
        <w:numPr>
          <w:ilvl w:val="0"/>
          <w:numId w:val="0"/>
        </w:numPr>
        <w:rPr>
          <w:rFonts w:hint="eastAsia"/>
          <w:highlight w:val="none"/>
          <w:lang w:val="en-US" w:eastAsia="zh-CN"/>
        </w:rPr>
      </w:pPr>
    </w:p>
    <w:bookmarkEnd w:id="16"/>
    <w:p w14:paraId="276ACB6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bookmarkStart w:id="17" w:name="_Toc15708"/>
      <w:bookmarkStart w:id="18" w:name="_Toc18799"/>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江苏盐城农村商业银行股份有限公司（以下简称“盐城农商银行”）前身为盐城市区信用联社，2010年5月26日，开业成立黄海农商银行；2015年3月16日，更名为盐城农商银行；2011年对盐城响水农商银行和滨海农商银行实施战略投资；2012年在江西省萍乡市湘东区发起设立黄海村镇银行；2018年投资徐州新沂农商银行；2019年入股盐城阜宁农商银行；2022年对连云港东方农商银行实施战略投资，至目前持股比例分别为：15.38%、11.26%、82.40%、20%、8.92%、9.99%。目前有7个一级支行、62个营业网点、5个分理处和172个普惠金融服务点，机关内设17个管理部门，网点遍布盐城主城区，并在东台城乡设有7个网点，在岗员工822人，注册资本11.06亿元。截至2024年末，存、贷款余额分别为 456.52 亿元、413.83 亿元，较年初增加 25.99 亿元、36.01 亿元，分别增长 6.04%、9.53%；资产总额593.13亿元，近三年年均纳税近1.9亿元。</w:t>
      </w:r>
    </w:p>
    <w:p w14:paraId="3805B57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highlight w:val="none"/>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2024年，本行积极主动融入全市绿色低碳发展示范区建设，立足碳达峰、碳中和的“双碳” 目标，切实扛起金融支持绿色发展的责任担当，以“苏质贷”“环保贷”“碳汇收益质押贷”等绿色信贷产品为抓手，把更多的信贷资金用于支持打造绿色低碳产业集群，不断加大对绿色、低 碳、循环经济的金融支持，严控落后产能信贷投放。2024年，成功发放了全国首笔“高标准农田碳汇收益质押贷款”。截至2024年末，绿色信贷余额8.80亿元，较年初增加0.99亿元，增幅12.71%，高于各项贷款增速3.18个百分点。制定了《绿色信贷管理办法》 等制度办法，以科技创新践行环保理念，改善网点服务环境，提升客户体验。结合智能网点升级改造，加快推进金融科技应用程度，提高服务效率和客户体验。切实以产业“含绿量”提升发展 “含金量”，坚决当好绿色低碳的参与者、推动者和示范者。全年获得上级单位各类荣誉表彰30余项。被盐城市人民政府和盐都区人民政府双双评为“五星企业”；被江苏金融监管局、江苏证监局、江苏金 融工会评为2024年度江苏金融业网络安全技能竞赛“优秀组织奖”和“团体优秀奖”；荣获省农商联合银行“2024年度财务管理工作优胜单位”和“2024年度统计管理工作优胜单位”等。</w:t>
      </w:r>
    </w:p>
    <w:p w14:paraId="1DC6E0B2">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0" w:leftChars="0" w:firstLine="482" w:firstLineChars="0"/>
        <w:jc w:val="center"/>
        <w:textAlignment w:val="auto"/>
        <w:rPr>
          <w:rFonts w:hint="eastAsia"/>
          <w:highlight w:val="none"/>
          <w:lang w:val="en-US" w:eastAsia="zh-CN"/>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第二部分 </w:t>
      </w:r>
      <w:r>
        <w:rPr>
          <w:rFonts w:hint="eastAsia" w:ascii="黑体" w:hAnsi="黑体" w:eastAsia="黑体" w:cs="黑体"/>
          <w:color w:val="000000" w:themeColor="text1"/>
          <w:sz w:val="32"/>
          <w:szCs w:val="32"/>
          <w:highlight w:val="none"/>
          <w:lang w:val="en-US" w:eastAsia="zh-CN"/>
          <w14:textFill>
            <w14:solidFill>
              <w14:schemeClr w14:val="tx1"/>
            </w14:solidFill>
          </w14:textFill>
        </w:rPr>
        <w:t>环境相关治理结构</w:t>
      </w:r>
      <w:bookmarkEnd w:id="17"/>
      <w:bookmarkEnd w:id="18"/>
    </w:p>
    <w:p w14:paraId="089AE5B6">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textAlignment w:val="auto"/>
        <w:outlineLvl w:val="0"/>
        <w:rPr>
          <w:rFonts w:hint="eastAsia" w:ascii="黑体" w:hAnsi="黑体" w:eastAsia="黑体" w:cs="黑体"/>
          <w:b w:val="0"/>
          <w:bCs w:val="0"/>
          <w:sz w:val="32"/>
          <w:szCs w:val="32"/>
          <w:highlight w:val="none"/>
          <w:lang w:val="en-US" w:eastAsia="zh-CN"/>
        </w:rPr>
      </w:pPr>
      <w:bookmarkStart w:id="19" w:name="_Toc3063"/>
      <w:r>
        <w:rPr>
          <w:rFonts w:hint="eastAsia" w:ascii="黑体" w:hAnsi="黑体" w:eastAsia="黑体" w:cs="黑体"/>
          <w:b w:val="0"/>
          <w:bCs w:val="0"/>
          <w:sz w:val="32"/>
          <w:szCs w:val="32"/>
          <w:highlight w:val="none"/>
          <w:lang w:val="en-US" w:eastAsia="zh-CN"/>
        </w:rPr>
        <w:t>一、董事会层面</w:t>
      </w:r>
      <w:bookmarkEnd w:id="19"/>
    </w:p>
    <w:p w14:paraId="00BCE0A8">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2024年度，本行暂未设置绿色金融委员会。本行将发展绿色金融作为承担社会责任的重要组成部分，董事会为社会责任管理的最高决策机构，决定公司社会责任管理架构及管理策略，负责确定全行绿色金融发展战略，审批高级管理层制定的绿色金融发展目标和提交的相关报告，监督、评估绿色金融发展战略执行事项。</w:t>
      </w:r>
    </w:p>
    <w:p w14:paraId="4DED32F9">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textAlignment w:val="auto"/>
        <w:outlineLvl w:val="0"/>
        <w:rPr>
          <w:rFonts w:hint="eastAsia" w:ascii="黑体" w:hAnsi="黑体" w:eastAsia="黑体" w:cs="黑体"/>
          <w:b w:val="0"/>
          <w:bCs w:val="0"/>
          <w:sz w:val="32"/>
          <w:szCs w:val="32"/>
          <w:highlight w:val="none"/>
          <w:lang w:val="en-US" w:eastAsia="zh-CN"/>
        </w:rPr>
      </w:pPr>
      <w:bookmarkStart w:id="20" w:name="_Toc14231"/>
      <w:r>
        <w:rPr>
          <w:rFonts w:hint="eastAsia" w:ascii="黑体" w:hAnsi="黑体" w:eastAsia="黑体" w:cs="黑体"/>
          <w:b w:val="0"/>
          <w:bCs w:val="0"/>
          <w:sz w:val="32"/>
          <w:szCs w:val="32"/>
          <w:highlight w:val="none"/>
          <w:lang w:val="en-US" w:eastAsia="zh-CN"/>
        </w:rPr>
        <w:t>二、高级管理层层面</w:t>
      </w:r>
      <w:bookmarkEnd w:id="20"/>
    </w:p>
    <w:p w14:paraId="2EE628D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高级管理层根据董事会的决定，制定绿色信贷目标及年度工作计划，建立机制和流程，明确职责和权限，开展内控检查和考核评价，每年度向董事会报告绿色金融发展情况，并及时向监管部门报送相关情况。明确信贷管理部为牵头管理部门，组织开展并归口管理绿色金融各项工作，包括发展规划、年度目标、工作计划、制度办法等的制定与实施，以及绿色金融其他相关工作。</w:t>
      </w:r>
    </w:p>
    <w:p w14:paraId="60F528A2">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textAlignment w:val="auto"/>
        <w:outlineLvl w:val="0"/>
        <w:rPr>
          <w:rFonts w:hint="eastAsia" w:ascii="黑体" w:hAnsi="黑体" w:eastAsia="黑体" w:cs="黑体"/>
          <w:b w:val="0"/>
          <w:bCs w:val="0"/>
          <w:sz w:val="32"/>
          <w:szCs w:val="32"/>
          <w:highlight w:val="none"/>
          <w:lang w:val="en-US" w:eastAsia="zh-CN"/>
        </w:rPr>
      </w:pPr>
      <w:bookmarkStart w:id="21" w:name="_Toc26629"/>
      <w:r>
        <w:rPr>
          <w:rFonts w:hint="eastAsia" w:ascii="黑体" w:hAnsi="黑体" w:eastAsia="黑体" w:cs="黑体"/>
          <w:b w:val="0"/>
          <w:bCs w:val="0"/>
          <w:sz w:val="32"/>
          <w:szCs w:val="32"/>
          <w:highlight w:val="none"/>
          <w:lang w:val="en-US" w:eastAsia="zh-CN"/>
        </w:rPr>
        <w:t>三、各专业部门</w:t>
      </w:r>
      <w:bookmarkEnd w:id="21"/>
    </w:p>
    <w:p w14:paraId="780D6058">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default"/>
          <w:sz w:val="32"/>
          <w:szCs w:val="32"/>
          <w:highlight w:val="none"/>
          <w:lang w:val="en-US" w:eastAsia="zh-CN"/>
        </w:rPr>
      </w:pPr>
      <w:r>
        <w:rPr>
          <w:rFonts w:hint="eastAsia" w:ascii="仿宋_GB2312" w:hAnsi="仿宋_GB2312" w:eastAsia="仿宋_GB2312" w:cs="仿宋_GB2312"/>
          <w:color w:val="000000" w:themeColor="text1"/>
          <w:sz w:val="32"/>
          <w:szCs w:val="32"/>
          <w:highlight w:val="none"/>
          <w:shd w:val="clear"/>
          <w:lang w:val="en-US" w:eastAsia="zh-CN"/>
          <w14:textFill>
            <w14:solidFill>
              <w14:schemeClr w14:val="tx1"/>
            </w14:solidFill>
          </w14:textFill>
        </w:rPr>
        <w:t>本行各专业部门在环境相关治理结构中的职责见下表。</w:t>
      </w:r>
    </w:p>
    <w:tbl>
      <w:tblPr>
        <w:tblStyle w:val="17"/>
        <w:tblW w:w="8453"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7"/>
        <w:gridCol w:w="5486"/>
      </w:tblGrid>
      <w:tr w14:paraId="3807F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blHeader/>
        </w:trPr>
        <w:tc>
          <w:tcPr>
            <w:tcW w:w="2967" w:type="dxa"/>
            <w:vAlign w:val="center"/>
          </w:tcPr>
          <w:p w14:paraId="40202AAA">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部门名称</w:t>
            </w:r>
          </w:p>
        </w:tc>
        <w:tc>
          <w:tcPr>
            <w:tcW w:w="5486" w:type="dxa"/>
            <w:vAlign w:val="center"/>
          </w:tcPr>
          <w:p w14:paraId="52A19471">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职责描述</w:t>
            </w:r>
          </w:p>
        </w:tc>
      </w:tr>
      <w:tr w14:paraId="47484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67" w:type="dxa"/>
            <w:vAlign w:val="center"/>
          </w:tcPr>
          <w:p w14:paraId="0996DB13">
            <w:pPr>
              <w:pStyle w:val="21"/>
              <w:bidi w:val="0"/>
              <w:jc w:val="center"/>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rPr>
              <w:t>风险管理部</w:t>
            </w:r>
          </w:p>
        </w:tc>
        <w:tc>
          <w:tcPr>
            <w:tcW w:w="5486" w:type="dxa"/>
            <w:vAlign w:val="center"/>
          </w:tcPr>
          <w:p w14:paraId="3A4E9F3D">
            <w:pPr>
              <w:pStyle w:val="21"/>
              <w:bidi w:val="0"/>
              <w:jc w:val="left"/>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i w:val="0"/>
                <w:iCs w:val="0"/>
                <w:caps w:val="0"/>
                <w:spacing w:val="0"/>
                <w:sz w:val="24"/>
                <w:szCs w:val="24"/>
                <w:highlight w:val="none"/>
              </w:rPr>
              <w:t>负责研究环境和社会风险管理工作机制，推动风险管理的全覆盖等工作</w:t>
            </w:r>
            <w:r>
              <w:rPr>
                <w:rFonts w:hint="eastAsia" w:ascii="仿宋_GB2312" w:hAnsi="仿宋_GB2312" w:eastAsia="仿宋_GB2312" w:cs="仿宋_GB2312"/>
                <w:b w:val="0"/>
                <w:bCs w:val="0"/>
                <w:i w:val="0"/>
                <w:iCs w:val="0"/>
                <w:caps w:val="0"/>
                <w:spacing w:val="0"/>
                <w:sz w:val="24"/>
                <w:szCs w:val="24"/>
                <w:highlight w:val="none"/>
                <w:lang w:eastAsia="zh-CN"/>
              </w:rPr>
              <w:t>。</w:t>
            </w:r>
          </w:p>
        </w:tc>
      </w:tr>
      <w:tr w14:paraId="154C3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67" w:type="dxa"/>
            <w:vAlign w:val="center"/>
          </w:tcPr>
          <w:p w14:paraId="28FBC3A5">
            <w:pPr>
              <w:pStyle w:val="21"/>
              <w:bidi w:val="0"/>
              <w:jc w:val="center"/>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信贷管理部</w:t>
            </w:r>
          </w:p>
        </w:tc>
        <w:tc>
          <w:tcPr>
            <w:tcW w:w="5486" w:type="dxa"/>
            <w:vAlign w:val="center"/>
          </w:tcPr>
          <w:p w14:paraId="29B24C6B">
            <w:pPr>
              <w:pStyle w:val="21"/>
              <w:bidi w:val="0"/>
              <w:jc w:val="left"/>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rPr>
              <w:t>负责牵头</w:t>
            </w: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绿色金融各项工作，</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包括发展规划、年度目标、工作计划、制度办法等的制定与实施。</w:t>
            </w:r>
          </w:p>
        </w:tc>
      </w:tr>
      <w:tr w14:paraId="7CB1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67" w:type="dxa"/>
            <w:vAlign w:val="center"/>
          </w:tcPr>
          <w:p w14:paraId="3C10EF8E">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授信评审部</w:t>
            </w:r>
          </w:p>
        </w:tc>
        <w:tc>
          <w:tcPr>
            <w:tcW w:w="5486" w:type="dxa"/>
            <w:vAlign w:val="center"/>
          </w:tcPr>
          <w:p w14:paraId="7238FDA8">
            <w:pPr>
              <w:pStyle w:val="21"/>
              <w:bidi w:val="0"/>
              <w:jc w:val="left"/>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负责对绿色贷款的授信准入审批，实施绿色贷款快速审批通道。</w:t>
            </w:r>
          </w:p>
        </w:tc>
      </w:tr>
      <w:tr w14:paraId="28AB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67" w:type="dxa"/>
            <w:vAlign w:val="center"/>
          </w:tcPr>
          <w:p w14:paraId="03768580">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公司金融部</w:t>
            </w:r>
          </w:p>
        </w:tc>
        <w:tc>
          <w:tcPr>
            <w:tcW w:w="5486" w:type="dxa"/>
            <w:vAlign w:val="center"/>
          </w:tcPr>
          <w:p w14:paraId="7E47C702">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负责全行公司客户绿色贷款业务内外部环境和政策研究，制定年度工作目标与工作计划，设计开发新产品，并推动业务发展。</w:t>
            </w:r>
          </w:p>
        </w:tc>
      </w:tr>
      <w:tr w14:paraId="7415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67" w:type="dxa"/>
            <w:vAlign w:val="center"/>
          </w:tcPr>
          <w:p w14:paraId="587B8921">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普惠金融部</w:t>
            </w:r>
          </w:p>
        </w:tc>
        <w:tc>
          <w:tcPr>
            <w:tcW w:w="5486" w:type="dxa"/>
            <w:vAlign w:val="center"/>
          </w:tcPr>
          <w:p w14:paraId="0493443C">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负责全行个人客户绿色信贷业务管理和推动。</w:t>
            </w:r>
          </w:p>
        </w:tc>
      </w:tr>
    </w:tbl>
    <w:p w14:paraId="7354DF0C">
      <w:pPr>
        <w:spacing w:line="560" w:lineRule="exact"/>
        <w:ind w:left="0" w:leftChars="0" w:firstLine="0" w:firstLineChars="0"/>
        <w:jc w:val="both"/>
        <w:rPr>
          <w:rFonts w:hint="eastAsia"/>
          <w:highlight w:val="none"/>
          <w:lang w:val="en-US" w:eastAsia="zh-CN"/>
        </w:rPr>
      </w:pPr>
      <w:bookmarkStart w:id="22" w:name="_Toc27236"/>
      <w:bookmarkStart w:id="23" w:name="_Toc23118"/>
    </w:p>
    <w:p w14:paraId="0A7F695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20" w:lineRule="exact"/>
        <w:ind w:left="0" w:leftChars="0" w:firstLine="0" w:firstLineChars="0"/>
        <w:jc w:val="center"/>
        <w:textAlignment w:val="auto"/>
        <w:rPr>
          <w:rFonts w:hint="eastAsia" w:ascii="黑体" w:hAnsi="黑体" w:eastAsia="黑体" w:cs="黑体"/>
          <w:b w:val="0"/>
          <w:bCs w:val="0"/>
          <w:highlight w:val="none"/>
          <w:lang w:val="en-US" w:eastAsia="zh-CN"/>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第三部分 </w:t>
      </w:r>
      <w:r>
        <w:rPr>
          <w:rFonts w:hint="default" w:ascii="黑体" w:hAnsi="黑体" w:eastAsia="黑体" w:cs="黑体"/>
          <w:color w:val="000000" w:themeColor="text1"/>
          <w:highlight w:val="none"/>
          <w:lang w:val="en-US" w:eastAsia="zh-CN"/>
          <w14:textFill>
            <w14:solidFill>
              <w14:schemeClr w14:val="tx1"/>
            </w14:solidFill>
          </w14:textFill>
        </w:rPr>
        <w:t>环境相关政策制度</w:t>
      </w:r>
      <w:bookmarkEnd w:id="22"/>
      <w:bookmarkEnd w:id="23"/>
    </w:p>
    <w:p w14:paraId="145D21D2">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0"/>
        <w:rPr>
          <w:rFonts w:hint="default" w:ascii="黑体" w:hAnsi="黑体" w:eastAsia="黑体" w:cs="黑体"/>
          <w:b w:val="0"/>
          <w:bCs w:val="0"/>
          <w:highlight w:val="none"/>
          <w:lang w:val="en-US" w:eastAsia="zh-CN"/>
        </w:rPr>
      </w:pPr>
      <w:r>
        <w:rPr>
          <w:rFonts w:hint="eastAsia" w:ascii="黑体" w:hAnsi="黑体" w:eastAsia="黑体" w:cs="黑体"/>
          <w:b w:val="0"/>
          <w:bCs w:val="0"/>
          <w:highlight w:val="none"/>
          <w:lang w:val="en-US" w:eastAsia="zh-CN"/>
        </w:rPr>
        <w:t>一、外部</w:t>
      </w:r>
      <w:r>
        <w:rPr>
          <w:rFonts w:hint="default" w:ascii="黑体" w:hAnsi="黑体" w:eastAsia="黑体" w:cs="黑体"/>
          <w:b w:val="0"/>
          <w:bCs w:val="0"/>
          <w:highlight w:val="none"/>
          <w:lang w:val="en-US" w:eastAsia="zh-CN"/>
        </w:rPr>
        <w:t>环境相关政策制度</w:t>
      </w:r>
    </w:p>
    <w:tbl>
      <w:tblPr>
        <w:tblStyle w:val="16"/>
        <w:tblW w:w="841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293"/>
        <w:gridCol w:w="2507"/>
        <w:gridCol w:w="3619"/>
      </w:tblGrid>
      <w:tr w14:paraId="6AFEE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1" w:hRule="atLeast"/>
        </w:trPr>
        <w:tc>
          <w:tcPr>
            <w:tcW w:w="2293" w:type="dxa"/>
            <w:shd w:val="clear" w:color="auto" w:fill="auto"/>
            <w:noWrap/>
            <w:vAlign w:val="center"/>
          </w:tcPr>
          <w:p w14:paraId="13F09076">
            <w:pPr>
              <w:keepNext w:val="0"/>
              <w:keepLines w:val="0"/>
              <w:widowControl/>
              <w:suppressLineNumbers w:val="0"/>
              <w:jc w:val="both"/>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发文单位</w:t>
            </w:r>
          </w:p>
        </w:tc>
        <w:tc>
          <w:tcPr>
            <w:tcW w:w="2507" w:type="dxa"/>
            <w:shd w:val="clear" w:color="auto" w:fill="auto"/>
            <w:noWrap/>
            <w:vAlign w:val="center"/>
          </w:tcPr>
          <w:p w14:paraId="340E0B32">
            <w:pPr>
              <w:keepNext w:val="0"/>
              <w:keepLines w:val="0"/>
              <w:widowControl/>
              <w:suppressLineNumbers w:val="0"/>
              <w:jc w:val="both"/>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文件名称</w:t>
            </w:r>
          </w:p>
        </w:tc>
        <w:tc>
          <w:tcPr>
            <w:tcW w:w="3619" w:type="dxa"/>
            <w:shd w:val="clear" w:color="auto" w:fill="auto"/>
            <w:noWrap/>
            <w:vAlign w:val="center"/>
          </w:tcPr>
          <w:p w14:paraId="351675F3">
            <w:pPr>
              <w:keepNext w:val="0"/>
              <w:keepLines w:val="0"/>
              <w:widowControl/>
              <w:suppressLineNumbers w:val="0"/>
              <w:jc w:val="both"/>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本行相应措施</w:t>
            </w:r>
          </w:p>
        </w:tc>
      </w:tr>
      <w:tr w14:paraId="5039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4" w:hRule="atLeast"/>
        </w:trPr>
        <w:tc>
          <w:tcPr>
            <w:tcW w:w="0" w:type="auto"/>
            <w:shd w:val="clear" w:color="auto" w:fill="auto"/>
            <w:noWrap/>
            <w:vAlign w:val="center"/>
          </w:tcPr>
          <w:p w14:paraId="5846EF87">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中共中央国务院</w:t>
            </w:r>
          </w:p>
        </w:tc>
        <w:tc>
          <w:tcPr>
            <w:tcW w:w="2507" w:type="dxa"/>
            <w:shd w:val="clear" w:color="auto" w:fill="auto"/>
            <w:vAlign w:val="center"/>
          </w:tcPr>
          <w:p w14:paraId="63F20452">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《关于加快建立健全绿色低碳循环发展经济体系的指导意见》、《关于完整准确全面贯彻新发展理念做好碳达峰碳中和工作的意见》、《2030年前碳达峰行动方案》</w:t>
            </w:r>
          </w:p>
        </w:tc>
        <w:tc>
          <w:tcPr>
            <w:tcW w:w="3619" w:type="dxa"/>
            <w:shd w:val="clear" w:color="auto" w:fill="auto"/>
            <w:vAlign w:val="center"/>
          </w:tcPr>
          <w:p w14:paraId="0EDA6290">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坚持不懈推动绿色低碳发展，积极落实碳达峰碳中和重大决策部署，推进降碳、减污、扩绿、增长，将绿色发展纳入战略目标，提升绿色金融服务能力。</w:t>
            </w:r>
          </w:p>
        </w:tc>
      </w:tr>
      <w:tr w14:paraId="28A8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4" w:hRule="atLeast"/>
        </w:trPr>
        <w:tc>
          <w:tcPr>
            <w:tcW w:w="0" w:type="auto"/>
            <w:shd w:val="clear" w:color="auto" w:fill="auto"/>
            <w:noWrap/>
            <w:vAlign w:val="center"/>
          </w:tcPr>
          <w:p w14:paraId="1E91E3BC">
            <w:pPr>
              <w:pStyle w:val="21"/>
              <w:bidi w:val="0"/>
              <w:ind w:firstLine="0" w:firstLineChars="0"/>
              <w:jc w:val="center"/>
              <w:rPr>
                <w:rFonts w:hint="default" w:ascii="仿宋_GB2312" w:hAnsi="仿宋_GB2312" w:eastAsia="仿宋_GB2312" w:cs="仿宋_GB2312"/>
                <w:b w:val="0"/>
                <w:bCs w:val="0"/>
                <w:i w:val="0"/>
                <w:iCs w:val="0"/>
                <w:caps w:val="0"/>
                <w:spacing w:val="0"/>
                <w:sz w:val="24"/>
                <w:szCs w:val="24"/>
                <w:highlight w:val="none"/>
                <w:shd w:val="clear" w:fill="FAFAFA"/>
                <w:lang w:val="en-US"/>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中国人民银行</w:t>
            </w:r>
          </w:p>
        </w:tc>
        <w:tc>
          <w:tcPr>
            <w:tcW w:w="2507" w:type="dxa"/>
            <w:shd w:val="clear" w:color="auto" w:fill="auto"/>
            <w:vAlign w:val="center"/>
          </w:tcPr>
          <w:p w14:paraId="2DFA77BC">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《银行业金融机构绿色金融评价方案》、《金融机构环境信息披露指南》</w:t>
            </w:r>
          </w:p>
        </w:tc>
        <w:tc>
          <w:tcPr>
            <w:tcW w:w="3619" w:type="dxa"/>
            <w:shd w:val="clear" w:color="auto" w:fill="auto"/>
            <w:vAlign w:val="center"/>
          </w:tcPr>
          <w:p w14:paraId="0C90299F">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完善绿色信贷管理办法，明确树立并推行节约、环保、可持续发展等绿色信贷理念，根据国家及地方政府绿色发展政策及时调整信贷投向。加大对绿色信贷、节能环保、新能源、新材料、高端装备制造等新兴产业发展的信贷投放。</w:t>
            </w:r>
          </w:p>
        </w:tc>
      </w:tr>
      <w:tr w14:paraId="290A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38" w:hRule="atLeast"/>
        </w:trPr>
        <w:tc>
          <w:tcPr>
            <w:tcW w:w="2293" w:type="dxa"/>
            <w:shd w:val="clear" w:color="auto" w:fill="auto"/>
            <w:vAlign w:val="center"/>
          </w:tcPr>
          <w:p w14:paraId="3FA5D8D1">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中国银保监会</w:t>
            </w:r>
          </w:p>
        </w:tc>
        <w:tc>
          <w:tcPr>
            <w:tcW w:w="2507" w:type="dxa"/>
            <w:shd w:val="clear" w:color="auto" w:fill="auto"/>
            <w:vAlign w:val="center"/>
          </w:tcPr>
          <w:p w14:paraId="022BFC42">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《银行业保险业绿色金融指引》</w:t>
            </w:r>
          </w:p>
        </w:tc>
        <w:tc>
          <w:tcPr>
            <w:tcW w:w="3619" w:type="dxa"/>
            <w:shd w:val="clear" w:color="auto" w:fill="auto"/>
            <w:vAlign w:val="center"/>
          </w:tcPr>
          <w:p w14:paraId="5BE8B600">
            <w:pPr>
              <w:pStyle w:val="21"/>
              <w:bidi w:val="0"/>
              <w:ind w:firstLine="0" w:firstLineChars="0"/>
              <w:jc w:val="left"/>
              <w:rPr>
                <w:rFonts w:hint="default"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树立推行节约、低碳、环保、可持续发展等绿色理念，建立有利于绿色金融创新的工作机制，明确绿色金融的支持方向和重点领域。完善本行制度、流程、风险管理，实行有差别、动态的授信或投资政策，对客户风险进行分类管理与动态评估，对存在重大环境、社会和治理风险的客户实行名单制管理。加强绿色金融理念宣传教育，规范经营行为，渐进有序减少碳足迹，最终实现运营的碳中和。</w:t>
            </w:r>
          </w:p>
        </w:tc>
      </w:tr>
      <w:tr w14:paraId="0A5FE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38" w:hRule="atLeast"/>
        </w:trPr>
        <w:tc>
          <w:tcPr>
            <w:tcW w:w="2293" w:type="dxa"/>
            <w:shd w:val="clear" w:color="auto" w:fill="auto"/>
            <w:vAlign w:val="center"/>
          </w:tcPr>
          <w:p w14:paraId="2A985FDA">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人民银行、国家发改委、工业和信息化部、财政部、生态环境部、金融监管总局和证监会</w:t>
            </w:r>
          </w:p>
        </w:tc>
        <w:tc>
          <w:tcPr>
            <w:tcW w:w="2507" w:type="dxa"/>
            <w:shd w:val="clear" w:color="auto" w:fill="auto"/>
            <w:vAlign w:val="center"/>
          </w:tcPr>
          <w:p w14:paraId="77F53E07">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《关于进一步强化金融支持绿色低碳发展的指导意见》</w:t>
            </w:r>
          </w:p>
        </w:tc>
        <w:tc>
          <w:tcPr>
            <w:tcW w:w="3619" w:type="dxa"/>
            <w:shd w:val="clear" w:color="auto" w:fill="auto"/>
            <w:vAlign w:val="center"/>
          </w:tcPr>
          <w:p w14:paraId="4453C122">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积极创新绿色金融产品和服务，加大对能源、工业、交通等领域绿色发展和低碳转型的信贷支持。</w:t>
            </w:r>
          </w:p>
        </w:tc>
      </w:tr>
      <w:tr w14:paraId="0FAC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2" w:hRule="atLeast"/>
        </w:trPr>
        <w:tc>
          <w:tcPr>
            <w:tcW w:w="2293" w:type="dxa"/>
            <w:shd w:val="clear" w:color="auto" w:fill="auto"/>
            <w:vAlign w:val="center"/>
          </w:tcPr>
          <w:p w14:paraId="1B556D91">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中国人民银行、生态环境部、金融监管总局、中国证监会</w:t>
            </w:r>
          </w:p>
        </w:tc>
        <w:tc>
          <w:tcPr>
            <w:tcW w:w="2507" w:type="dxa"/>
            <w:shd w:val="clear" w:color="auto" w:fill="auto"/>
            <w:vAlign w:val="center"/>
          </w:tcPr>
          <w:p w14:paraId="4C66E1DC">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《关于发挥绿色金融作用 服务美丽中国建设的意见》</w:t>
            </w:r>
          </w:p>
        </w:tc>
        <w:tc>
          <w:tcPr>
            <w:tcW w:w="3619" w:type="dxa"/>
            <w:shd w:val="clear" w:color="auto" w:fill="auto"/>
            <w:vAlign w:val="center"/>
          </w:tcPr>
          <w:p w14:paraId="42F81CCA">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对接重点行业绿色低碳发展、推进污染防治、生态保护修复等重点项目，丰富绿色金融产品，加大信贷支持力度，提升金融服务能力。</w:t>
            </w:r>
          </w:p>
        </w:tc>
      </w:tr>
      <w:tr w14:paraId="3F54F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4" w:hRule="atLeast"/>
        </w:trPr>
        <w:tc>
          <w:tcPr>
            <w:tcW w:w="0" w:type="auto"/>
            <w:shd w:val="clear" w:color="auto" w:fill="auto"/>
            <w:noWrap/>
            <w:vAlign w:val="center"/>
          </w:tcPr>
          <w:p w14:paraId="371049A2">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江苏省人民政府</w:t>
            </w:r>
          </w:p>
        </w:tc>
        <w:tc>
          <w:tcPr>
            <w:tcW w:w="2507" w:type="dxa"/>
            <w:shd w:val="clear" w:color="auto" w:fill="auto"/>
            <w:vAlign w:val="center"/>
          </w:tcPr>
          <w:p w14:paraId="0AFADD8D">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《江苏省“十四五”生态环境保护规划》、《关于大力发展绿色金融的指导意见》、《江苏省生态环境保护条例》</w:t>
            </w:r>
          </w:p>
        </w:tc>
        <w:tc>
          <w:tcPr>
            <w:tcW w:w="3619" w:type="dxa"/>
            <w:shd w:val="clear" w:color="auto" w:fill="auto"/>
            <w:vAlign w:val="center"/>
          </w:tcPr>
          <w:p w14:paraId="0F2F88D5">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紧跟规范，加强绿色金融创新、推进重点领域以及相关产业绿色低碳转型，实现江苏绿色低碳高质量发展。</w:t>
            </w:r>
          </w:p>
        </w:tc>
      </w:tr>
      <w:tr w14:paraId="404AD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4" w:hRule="atLeast"/>
        </w:trPr>
        <w:tc>
          <w:tcPr>
            <w:tcW w:w="0" w:type="auto"/>
            <w:shd w:val="clear" w:color="auto" w:fill="auto"/>
            <w:noWrap/>
            <w:vAlign w:val="center"/>
          </w:tcPr>
          <w:p w14:paraId="2C85B3A6">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盐城市人民政府</w:t>
            </w:r>
          </w:p>
        </w:tc>
        <w:tc>
          <w:tcPr>
            <w:tcW w:w="2507" w:type="dxa"/>
            <w:shd w:val="clear" w:color="auto" w:fill="auto"/>
            <w:vAlign w:val="center"/>
          </w:tcPr>
          <w:p w14:paraId="14976EC0">
            <w:pPr>
              <w:pStyle w:val="21"/>
              <w:bidi w:val="0"/>
              <w:ind w:firstLine="0" w:firstLineChars="0"/>
              <w:jc w:val="center"/>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《国家碳达峰试点（盐城）实施方案》、《关于全面推进美丽盐城建设的行动方案》</w:t>
            </w:r>
          </w:p>
        </w:tc>
        <w:tc>
          <w:tcPr>
            <w:tcW w:w="3619" w:type="dxa"/>
            <w:shd w:val="clear" w:color="auto" w:fill="auto"/>
            <w:vAlign w:val="center"/>
          </w:tcPr>
          <w:p w14:paraId="107C33CD">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推动绿色低碳循环发展，助力实现碳达峰、碳中和目标。积极参与“绿色转型、环境质量、生态保护、美丽品牌、治理能力、生态素养”等六大提升行动，引导社会公众推进美丽盐城建设。</w:t>
            </w:r>
          </w:p>
        </w:tc>
      </w:tr>
    </w:tbl>
    <w:p w14:paraId="4FB56061">
      <w:pPr>
        <w:pStyle w:val="3"/>
        <w:ind w:left="0" w:leftChars="0" w:firstLine="0" w:firstLineChars="0"/>
        <w:rPr>
          <w:rFonts w:hint="default" w:ascii="黑体" w:hAnsi="黑体" w:eastAsia="黑体" w:cs="黑体"/>
          <w:b w:val="0"/>
          <w:bCs w:val="0"/>
          <w:highlight w:val="none"/>
          <w:lang w:val="en-US" w:eastAsia="zh-CN"/>
        </w:rPr>
      </w:pPr>
    </w:p>
    <w:p w14:paraId="1FDBEBA7">
      <w:pPr>
        <w:pStyle w:val="3"/>
        <w:ind w:left="0" w:leftChars="0" w:firstLine="0" w:firstLineChars="0"/>
        <w:rPr>
          <w:rFonts w:hint="default" w:ascii="黑体" w:hAnsi="黑体" w:eastAsia="黑体" w:cs="黑体"/>
          <w:b w:val="0"/>
          <w:bCs w:val="0"/>
          <w:highlight w:val="none"/>
          <w:lang w:val="en-US" w:eastAsia="zh-CN"/>
        </w:rPr>
      </w:pPr>
    </w:p>
    <w:p w14:paraId="31163714">
      <w:pPr>
        <w:pStyle w:val="22"/>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before="157" w:beforeLines="50" w:after="157" w:afterLines="50"/>
        <w:ind w:left="0" w:leftChars="0" w:firstLine="640" w:firstLineChars="200"/>
        <w:jc w:val="left"/>
        <w:textAlignment w:val="auto"/>
        <w:rPr>
          <w:rFonts w:hint="default" w:ascii="黑体" w:hAnsi="黑体" w:eastAsia="黑体" w:cs="黑体"/>
          <w:b w:val="0"/>
          <w:bCs w:val="0"/>
          <w:i w:val="0"/>
          <w:iCs w:val="0"/>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i w:val="0"/>
          <w:iCs w:val="0"/>
          <w:color w:val="000000" w:themeColor="text1"/>
          <w:kern w:val="2"/>
          <w:sz w:val="32"/>
          <w:szCs w:val="32"/>
          <w:highlight w:val="none"/>
          <w:lang w:val="en-US" w:eastAsia="zh-CN" w:bidi="ar-SA"/>
          <w14:textFill>
            <w14:solidFill>
              <w14:schemeClr w14:val="tx1"/>
            </w14:solidFill>
          </w14:textFill>
        </w:rPr>
        <w:t>二、内部</w:t>
      </w:r>
      <w:r>
        <w:rPr>
          <w:rFonts w:hint="default" w:ascii="黑体" w:hAnsi="黑体" w:eastAsia="黑体" w:cs="黑体"/>
          <w:b w:val="0"/>
          <w:bCs w:val="0"/>
          <w:sz w:val="32"/>
          <w:szCs w:val="32"/>
          <w:highlight w:val="none"/>
          <w:lang w:val="en-US" w:eastAsia="zh-CN"/>
        </w:rPr>
        <w:t>环境相关</w:t>
      </w:r>
      <w:r>
        <w:rPr>
          <w:rFonts w:hint="eastAsia" w:ascii="黑体" w:hAnsi="黑体" w:eastAsia="黑体" w:cs="黑体"/>
          <w:b w:val="0"/>
          <w:bCs w:val="0"/>
          <w:i w:val="0"/>
          <w:iCs w:val="0"/>
          <w:color w:val="000000" w:themeColor="text1"/>
          <w:kern w:val="2"/>
          <w:sz w:val="32"/>
          <w:szCs w:val="32"/>
          <w:highlight w:val="none"/>
          <w:lang w:val="en-US" w:eastAsia="zh-CN" w:bidi="ar-SA"/>
          <w14:textFill>
            <w14:solidFill>
              <w14:schemeClr w14:val="tx1"/>
            </w14:solidFill>
          </w14:textFill>
        </w:rPr>
        <w:t>政策制度</w:t>
      </w:r>
    </w:p>
    <w:tbl>
      <w:tblPr>
        <w:tblStyle w:val="17"/>
        <w:tblW w:w="85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2304"/>
        <w:gridCol w:w="1368"/>
        <w:gridCol w:w="3492"/>
      </w:tblGrid>
      <w:tr w14:paraId="6DBC4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88" w:type="dxa"/>
            <w:vAlign w:val="center"/>
          </w:tcPr>
          <w:p w14:paraId="46C76B1F">
            <w:pPr>
              <w:pStyle w:val="21"/>
              <w:bidi w:val="0"/>
              <w:jc w:val="center"/>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制度类型</w:t>
            </w:r>
          </w:p>
        </w:tc>
        <w:tc>
          <w:tcPr>
            <w:tcW w:w="2304" w:type="dxa"/>
            <w:vAlign w:val="center"/>
          </w:tcPr>
          <w:p w14:paraId="53D66352">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文件名称</w:t>
            </w:r>
          </w:p>
        </w:tc>
        <w:tc>
          <w:tcPr>
            <w:tcW w:w="1368" w:type="dxa"/>
            <w:vAlign w:val="center"/>
          </w:tcPr>
          <w:p w14:paraId="52EB123C">
            <w:pPr>
              <w:pStyle w:val="21"/>
              <w:bidi w:val="0"/>
              <w:jc w:val="center"/>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发布时间</w:t>
            </w:r>
          </w:p>
        </w:tc>
        <w:tc>
          <w:tcPr>
            <w:tcW w:w="3492" w:type="dxa"/>
            <w:vAlign w:val="center"/>
          </w:tcPr>
          <w:p w14:paraId="7B245B83">
            <w:pPr>
              <w:pStyle w:val="21"/>
              <w:bidi w:val="0"/>
              <w:jc w:val="center"/>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主要内容</w:t>
            </w:r>
          </w:p>
        </w:tc>
      </w:tr>
      <w:tr w14:paraId="77E8D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8" w:type="dxa"/>
            <w:vMerge w:val="restart"/>
            <w:vAlign w:val="center"/>
          </w:tcPr>
          <w:p w14:paraId="57E948C9">
            <w:pPr>
              <w:pStyle w:val="21"/>
              <w:bidi w:val="0"/>
              <w:jc w:val="center"/>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战略规划</w:t>
            </w:r>
          </w:p>
        </w:tc>
        <w:tc>
          <w:tcPr>
            <w:tcW w:w="2304" w:type="dxa"/>
            <w:vAlign w:val="center"/>
          </w:tcPr>
          <w:p w14:paraId="18C4E078">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《江苏盐城农村商业银行股份有限公司十四五规划》</w:t>
            </w:r>
          </w:p>
        </w:tc>
        <w:tc>
          <w:tcPr>
            <w:tcW w:w="1368" w:type="dxa"/>
            <w:vAlign w:val="center"/>
          </w:tcPr>
          <w:p w14:paraId="13D39BED">
            <w:pPr>
              <w:pStyle w:val="21"/>
              <w:bidi w:val="0"/>
              <w:ind w:firstLine="0" w:firstLineChars="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2023年</w:t>
            </w:r>
          </w:p>
        </w:tc>
        <w:tc>
          <w:tcPr>
            <w:tcW w:w="3492" w:type="dxa"/>
            <w:vAlign w:val="center"/>
          </w:tcPr>
          <w:p w14:paraId="38F9C8EF">
            <w:pPr>
              <w:pStyle w:val="21"/>
              <w:bidi w:val="0"/>
              <w:ind w:firstLine="0" w:firstLineChars="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聚焦主责主业，服务乡村振兴，支持绿色农业发展，支持实体经济，为绿色信贷开辟绿色通道，提高绿色授信的审批效率。</w:t>
            </w:r>
          </w:p>
        </w:tc>
      </w:tr>
      <w:tr w14:paraId="6FA17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8" w:type="dxa"/>
            <w:vMerge w:val="continue"/>
            <w:vAlign w:val="center"/>
          </w:tcPr>
          <w:p w14:paraId="7189DEDC">
            <w:pPr>
              <w:pStyle w:val="21"/>
              <w:bidi w:val="0"/>
              <w:jc w:val="center"/>
              <w:rPr>
                <w:rFonts w:hint="eastAsia" w:ascii="仿宋_GB2312" w:hAnsi="仿宋_GB2312" w:eastAsia="仿宋_GB2312" w:cs="仿宋_GB2312"/>
                <w:b w:val="0"/>
                <w:bCs w:val="0"/>
                <w:sz w:val="24"/>
                <w:szCs w:val="24"/>
                <w:highlight w:val="none"/>
                <w:lang w:val="en-US" w:eastAsia="zh-CN"/>
              </w:rPr>
            </w:pPr>
          </w:p>
        </w:tc>
        <w:tc>
          <w:tcPr>
            <w:tcW w:w="2304" w:type="dxa"/>
            <w:vAlign w:val="center"/>
          </w:tcPr>
          <w:p w14:paraId="024A5D95">
            <w:pPr>
              <w:pStyle w:val="21"/>
              <w:bidi w:val="0"/>
              <w:ind w:firstLine="0" w:firstLineChars="0"/>
              <w:jc w:val="left"/>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《江苏盐城农村商业银行2024-2026年发展战略规划》</w:t>
            </w:r>
          </w:p>
        </w:tc>
        <w:tc>
          <w:tcPr>
            <w:tcW w:w="1368" w:type="dxa"/>
            <w:vAlign w:val="center"/>
          </w:tcPr>
          <w:p w14:paraId="7532997D">
            <w:pPr>
              <w:pStyle w:val="21"/>
              <w:bidi w:val="0"/>
              <w:ind w:firstLine="0" w:firstLineChars="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2024年</w:t>
            </w:r>
          </w:p>
        </w:tc>
        <w:tc>
          <w:tcPr>
            <w:tcW w:w="3492" w:type="dxa"/>
            <w:vAlign w:val="center"/>
          </w:tcPr>
          <w:p w14:paraId="671CC711">
            <w:pPr>
              <w:pStyle w:val="21"/>
              <w:bidi w:val="0"/>
              <w:ind w:firstLine="0" w:firstLineChars="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坚持“一张蓝图绘到底”，坚定做小做散战略方向，把发展的着力点放在服务实体经济上，精准高效地服务“三农”和小微客户。将绿色低碳、数字金融、科技金融等发展目标融入金融重点领域服务中，深耕细作，为地方经济发展和乡村振兴赋能增效。</w:t>
            </w:r>
          </w:p>
        </w:tc>
      </w:tr>
      <w:tr w14:paraId="4D756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8" w:type="dxa"/>
            <w:vAlign w:val="center"/>
          </w:tcPr>
          <w:p w14:paraId="376D34E2">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制度办法</w:t>
            </w:r>
          </w:p>
        </w:tc>
        <w:tc>
          <w:tcPr>
            <w:tcW w:w="2304" w:type="dxa"/>
            <w:vAlign w:val="center"/>
          </w:tcPr>
          <w:p w14:paraId="4FB9960A">
            <w:pPr>
              <w:pStyle w:val="21"/>
              <w:bidi w:val="0"/>
              <w:jc w:val="left"/>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《江苏盐城农村商业银行绿色信贷管理办法》</w:t>
            </w:r>
          </w:p>
        </w:tc>
        <w:tc>
          <w:tcPr>
            <w:tcW w:w="1368" w:type="dxa"/>
            <w:vAlign w:val="center"/>
          </w:tcPr>
          <w:p w14:paraId="2B3A8634">
            <w:pPr>
              <w:pStyle w:val="21"/>
              <w:bidi w:val="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2017年</w:t>
            </w:r>
          </w:p>
        </w:tc>
        <w:tc>
          <w:tcPr>
            <w:tcW w:w="3492" w:type="dxa"/>
            <w:vAlign w:val="center"/>
          </w:tcPr>
          <w:p w14:paraId="1A90A5BF">
            <w:pPr>
              <w:pStyle w:val="21"/>
              <w:bidi w:val="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加大对绿色经济、低碳经济、循环经济的支持，防范环境和社会风险，提升自身的环境和社会责任，优化信贷机构，提升服务水平。</w:t>
            </w:r>
          </w:p>
        </w:tc>
      </w:tr>
      <w:tr w14:paraId="3397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8" w:type="dxa"/>
            <w:vAlign w:val="center"/>
          </w:tcPr>
          <w:p w14:paraId="32582F2F">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业务发展</w:t>
            </w:r>
          </w:p>
        </w:tc>
        <w:tc>
          <w:tcPr>
            <w:tcW w:w="2304" w:type="dxa"/>
            <w:vAlign w:val="center"/>
          </w:tcPr>
          <w:p w14:paraId="31F61300">
            <w:pPr>
              <w:pStyle w:val="21"/>
              <w:bidi w:val="0"/>
              <w:jc w:val="left"/>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pPr>
            <w:r>
              <w:rPr>
                <w:rFonts w:hint="eastAsia" w:ascii="仿宋_GB2312" w:hAnsi="仿宋_GB2312" w:eastAsia="仿宋_GB2312" w:cs="仿宋_GB2312"/>
                <w:b w:val="0"/>
                <w:bCs w:val="0"/>
                <w:i w:val="0"/>
                <w:iCs w:val="0"/>
                <w:caps w:val="0"/>
                <w:spacing w:val="0"/>
                <w:sz w:val="24"/>
                <w:szCs w:val="24"/>
                <w:highlight w:val="none"/>
                <w:shd w:val="clear" w:fill="FAFAFA"/>
                <w:lang w:val="en-US" w:eastAsia="zh-CN"/>
              </w:rPr>
              <w:t>《2024年信贷管理工作指导意见》</w:t>
            </w:r>
          </w:p>
        </w:tc>
        <w:tc>
          <w:tcPr>
            <w:tcW w:w="1368" w:type="dxa"/>
            <w:vAlign w:val="center"/>
          </w:tcPr>
          <w:p w14:paraId="5A6C1CAB">
            <w:pPr>
              <w:pStyle w:val="21"/>
              <w:bidi w:val="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2024年</w:t>
            </w:r>
          </w:p>
        </w:tc>
        <w:tc>
          <w:tcPr>
            <w:tcW w:w="3492" w:type="dxa"/>
            <w:vAlign w:val="center"/>
          </w:tcPr>
          <w:p w14:paraId="43170157">
            <w:pPr>
              <w:pStyle w:val="21"/>
              <w:bidi w:val="0"/>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持续跟踪盐城本地节能环保行业中小微企业的绿色化改造、绿色工业园区建设以及绿色交通运输、可再生能源及清洁能源等资金需求，大力支持符合生态、有机、现代化标准的农业项目和主体。信贷投放向绿色农业、绿色乡村、节能减排、清洁能源、绿色交通、绿色建筑等领域倾斜，坚决落实环保不达标“一票否决制”，做到分类施策，有保有压，确保绿色信贷增速高于各项贷款平均增速。</w:t>
            </w:r>
          </w:p>
        </w:tc>
      </w:tr>
    </w:tbl>
    <w:p w14:paraId="6776E1F2">
      <w:pPr>
        <w:pStyle w:val="3"/>
        <w:ind w:left="0" w:leftChars="0" w:firstLine="0" w:firstLineChars="0"/>
        <w:rPr>
          <w:rFonts w:hint="eastAsia"/>
          <w:highlight w:val="none"/>
          <w:lang w:val="en-US" w:eastAsia="zh-CN"/>
        </w:rPr>
      </w:pPr>
      <w:bookmarkStart w:id="24" w:name="_Toc20520"/>
      <w:bookmarkStart w:id="25" w:name="_Toc9254"/>
    </w:p>
    <w:p w14:paraId="686354C5">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20" w:lineRule="exact"/>
        <w:ind w:left="0" w:leftChars="0" w:firstLine="0" w:firstLineChars="0"/>
        <w:jc w:val="center"/>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第四部分 </w:t>
      </w:r>
      <w:r>
        <w:rPr>
          <w:rFonts w:hint="default" w:ascii="黑体" w:hAnsi="黑体" w:eastAsia="黑体" w:cs="黑体"/>
          <w:color w:val="000000" w:themeColor="text1"/>
          <w:highlight w:val="none"/>
          <w:lang w:val="en-US" w:eastAsia="zh-CN"/>
          <w14:textFill>
            <w14:solidFill>
              <w14:schemeClr w14:val="tx1"/>
            </w14:solidFill>
          </w14:textFill>
        </w:rPr>
        <w:t>环境相关</w:t>
      </w:r>
      <w:r>
        <w:rPr>
          <w:rFonts w:hint="eastAsia" w:ascii="黑体" w:hAnsi="黑体" w:eastAsia="黑体" w:cs="黑体"/>
          <w:color w:val="000000" w:themeColor="text1"/>
          <w:highlight w:val="none"/>
          <w:lang w:val="en-US" w:eastAsia="zh-CN"/>
          <w14:textFill>
            <w14:solidFill>
              <w14:schemeClr w14:val="tx1"/>
            </w14:solidFill>
          </w14:textFill>
        </w:rPr>
        <w:t>业务</w:t>
      </w:r>
      <w:r>
        <w:rPr>
          <w:rFonts w:hint="default" w:ascii="黑体" w:hAnsi="黑体" w:eastAsia="黑体" w:cs="黑体"/>
          <w:color w:val="000000" w:themeColor="text1"/>
          <w:highlight w:val="none"/>
          <w:lang w:val="en-US" w:eastAsia="zh-CN"/>
          <w14:textFill>
            <w14:solidFill>
              <w14:schemeClr w14:val="tx1"/>
            </w14:solidFill>
          </w14:textFill>
        </w:rPr>
        <w:t>与服务创新</w:t>
      </w:r>
      <w:bookmarkEnd w:id="24"/>
      <w:bookmarkEnd w:id="25"/>
    </w:p>
    <w:p w14:paraId="459F7B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default" w:ascii="仿宋_GB2312" w:hAnsi="仿宋_GB2312" w:eastAsia="仿宋_GB2312" w:cs="仿宋_GB2312"/>
          <w:color w:val="000000" w:themeColor="text1"/>
          <w:highlight w:val="none"/>
          <w:lang w:val="en-US" w:eastAsia="zh-CN"/>
          <w14:textFill>
            <w14:solidFill>
              <w14:schemeClr w14:val="tx1"/>
            </w14:solidFill>
          </w14:textFill>
        </w:rPr>
        <w:t>本行环境相关金融</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业务与服务</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创新情况</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如下：</w:t>
      </w:r>
    </w:p>
    <w:p w14:paraId="1B289D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highlight w:val="none"/>
          <w:lang w:val="en-US" w:eastAsia="zh-CN"/>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1.绿色信贷。本行围绕清洁能源、生态环境、节能环保、清洁生产和绿色服务等重点领域，加大对绿色信贷资金支持，信贷业务稳步增长。</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截至2024年末，本行绿色信贷余额8.80亿元，较年初增加0.99亿元，增幅12.71%，高于各项贷款增速3.18个百分点。</w:t>
      </w:r>
    </w:p>
    <w:p w14:paraId="6F5911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2.绿色消费。本行围绕多元化的消费场景，持续丰富绿</w:t>
      </w:r>
    </w:p>
    <w:p w14:paraId="678479E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highlight w:val="none"/>
          <w:lang w:val="en-US" w:eastAsia="zh-CN"/>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色消费金融产品和服务供给，扩宽信用卡产品支付场景，提供绿色消费服务质效。2024年，开展“1分钱共享小鱼电动车”、“周三出行日 打车享立减”等活动，倡导居民低碳出行，践行环保理念。</w:t>
      </w:r>
    </w:p>
    <w:p w14:paraId="203EED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3.绿色债券。本行支持企业发行绿色公司债、企业债或债务融资工具，2024年末本行投资绿色金融债券余额0.3亿元。</w:t>
      </w:r>
    </w:p>
    <w:p w14:paraId="4F452A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4.碳金融。2024年积极参与人行“绿色普惠农业碳汇贷款”创新工作，对黄尖镇自然村进行农业碳汇评估，并向黄尖镇花川村发放贷款300万元。</w:t>
      </w:r>
    </w:p>
    <w:p w14:paraId="335396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5.绿色服务创新。智能网点升级改造，推进“苏信贷”面对面出额信贷产品，提高服务效率和客户体验。上线信贷展业平台，积极推进个人信贷业务线上电子化和无纸化。</w:t>
      </w:r>
      <w:bookmarkStart w:id="26" w:name="_Toc9143"/>
      <w:bookmarkStart w:id="27" w:name="_Toc8756"/>
    </w:p>
    <w:p w14:paraId="716B634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0" w:firstLineChars="0"/>
        <w:jc w:val="center"/>
        <w:textAlignment w:val="auto"/>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第五部分 </w:t>
      </w:r>
      <w:r>
        <w:rPr>
          <w:rFonts w:hint="default" w:ascii="黑体" w:hAnsi="黑体" w:eastAsia="黑体" w:cs="黑体"/>
          <w:color w:val="000000" w:themeColor="text1"/>
          <w:highlight w:val="none"/>
          <w:lang w:val="en-US" w:eastAsia="zh-CN"/>
          <w14:textFill>
            <w14:solidFill>
              <w14:schemeClr w14:val="tx1"/>
            </w14:solidFill>
          </w14:textFill>
        </w:rPr>
        <w:t>环境风险管理流程</w:t>
      </w:r>
      <w:bookmarkEnd w:id="26"/>
      <w:bookmarkEnd w:id="27"/>
      <w:bookmarkStart w:id="28" w:name="_Toc7226"/>
      <w:bookmarkStart w:id="29" w:name="_Toc30759"/>
    </w:p>
    <w:p w14:paraId="5020116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黑体" w:hAnsi="黑体" w:eastAsia="黑体" w:cs="黑体"/>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一、贷前调查环节</w:t>
      </w:r>
    </w:p>
    <w:p w14:paraId="508B099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0"/>
        <w:jc w:val="center"/>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针对一般类常规客户授信，通过背景核查了解企业经营情况，通过现场访谈和财务核查了解企业用工情况、经营环境、信息披露情况等；通过第三方数据，核查了解企业在官司纠纷、监管处罚、工商关注、征信等方面的负面信息；了解企业所属行业的监管政策，对企业进行合规风险评估，确保所申报客户、业务或产品在准入、用途等方面无违反法律法规、国家产业政策等基本要求的情况。针对项目贷款客户授信，进一步评估项目知识产权、资源禀赋和社会影响等，</w:t>
      </w:r>
    </w:p>
    <w:p w14:paraId="3A3428C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核查项目核准、土地、环评等各类合规性批文。在信贷流程中全面融入环境与社会风险管理。不仅要对客户和项目进行环保合规性审查，而且要针对高污染、高环境风险行业制定环境和社会方面调查审查清单，确认客户对相关风险点足够的重视并采取了有效措施。</w:t>
      </w:r>
    </w:p>
    <w:p w14:paraId="55A6C7E0">
      <w:pPr>
        <w:keepNext w:val="0"/>
        <w:keepLines w:val="0"/>
        <w:pageBreakBefore w:val="0"/>
        <w:widowControl w:val="0"/>
        <w:numPr>
          <w:ilvl w:val="0"/>
          <w:numId w:val="6"/>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贷中审核环节</w:t>
      </w:r>
    </w:p>
    <w:p w14:paraId="66FB79DF">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畅通绿色信贷业务审批通道，将客户</w:t>
      </w:r>
      <w:r>
        <w:rPr>
          <w:rFonts w:hint="eastAsia" w:ascii="仿宋_GB2312" w:hAnsi="仿宋_GB2312" w:eastAsia="仿宋_GB2312" w:cs="仿宋_GB2312"/>
          <w:color w:val="auto"/>
          <w:kern w:val="1"/>
          <w:sz w:val="32"/>
          <w:szCs w:val="32"/>
          <w:highlight w:val="none"/>
          <w:u w:val="none"/>
        </w:rPr>
        <w:t>生产经营活动合法、合规，生产、经营项目符合国家的产业、土地、环保等相关政策规定</w:t>
      </w:r>
      <w:r>
        <w:rPr>
          <w:rFonts w:hint="eastAsia" w:ascii="仿宋_GB2312" w:hAnsi="仿宋_GB2312" w:eastAsia="仿宋_GB2312" w:cs="仿宋_GB2312"/>
          <w:color w:val="auto"/>
          <w:kern w:val="1"/>
          <w:sz w:val="32"/>
          <w:szCs w:val="32"/>
          <w:highlight w:val="none"/>
          <w:u w:val="none"/>
          <w:lang w:val="en-US" w:eastAsia="zh-CN"/>
        </w:rPr>
        <w:t>作为必要审查要素。</w:t>
      </w:r>
      <w:r>
        <w:rPr>
          <w:rFonts w:hint="eastAsia" w:ascii="仿宋_GB2312" w:hAnsi="仿宋_GB2312" w:eastAsia="仿宋_GB2312" w:cs="仿宋_GB2312"/>
          <w:highlight w:val="none"/>
          <w:lang w:val="en-US" w:eastAsia="zh-CN"/>
        </w:rPr>
        <w:t>对于达不到环保要求的项目采取一票否决制，严禁向不符合行业准入条件、达不到环保标准或未按规定取得环评审批文件的项目和客户提供授信。严格执行授信、用信审批意见及信贷产品制度中对环境相关风险的管理要求，确保在环保标准、评估报告等方面符合放款条件。对涉及重大环境和社会风险的客户，在合同明确要求客户提供环境和社会风险报告，要求客户保证加强环境和社会风险管理，要求客户承诺接受贷款人监督等条款。</w:t>
      </w:r>
    </w:p>
    <w:p w14:paraId="4F390883">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default" w:ascii="黑体" w:hAnsi="黑体" w:eastAsia="黑体" w:cs="黑体"/>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三、贷后管理环节</w:t>
      </w:r>
    </w:p>
    <w:p w14:paraId="4AC92770">
      <w:pPr>
        <w:keepNext w:val="0"/>
        <w:keepLines w:val="0"/>
        <w:pageBreakBefore w:val="0"/>
        <w:widowControl w:val="0"/>
        <w:kinsoku/>
        <w:wordWrap/>
        <w:overflowPunct/>
        <w:topLinePunct w:val="0"/>
        <w:autoSpaceDE/>
        <w:autoSpaceDN/>
        <w:bidi w:val="0"/>
        <w:adjustRightInd/>
        <w:snapToGrid/>
        <w:spacing w:line="560" w:lineRule="exact"/>
        <w:ind w:firstLine="67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贷后管理环节关注</w:t>
      </w:r>
      <w:r>
        <w:rPr>
          <w:rFonts w:hint="eastAsia" w:ascii="仿宋_GB2312" w:hAnsi="仿宋_GB2312" w:eastAsia="仿宋_GB2312" w:cs="仿宋_GB2312"/>
          <w:bCs/>
          <w:color w:val="auto"/>
          <w:sz w:val="32"/>
          <w:szCs w:val="32"/>
          <w:highlight w:val="none"/>
          <w:u w:val="none"/>
        </w:rPr>
        <w:t>检查借款人、担保人的生产经营、资信状况、资产负债、财务状况、纳税及环评是否正常，本行结息还本记录是否正常，主要产品的市场变化、对外诉讼及担保等是否影响产品的销售和经济效益</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lang w:val="en-US" w:eastAsia="zh-CN"/>
        </w:rPr>
        <w:t>重点</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监测环境风险，将环境信息和安全生产信息作为日常贷后管理的重要内容，及时掌握、更新辖内环境违法违规和安全生产违规的客户名单，按规定建立绿色信贷客户台账。</w:t>
      </w:r>
      <w:r>
        <w:rPr>
          <w:rFonts w:hint="eastAsia" w:ascii="仿宋_GB2312" w:hAnsi="仿宋_GB2312" w:eastAsia="仿宋_GB2312" w:cs="仿宋_GB2312"/>
          <w:color w:val="auto"/>
          <w:kern w:val="1"/>
          <w:sz w:val="32"/>
          <w:szCs w:val="32"/>
          <w:highlight w:val="none"/>
          <w:u w:val="none"/>
        </w:rPr>
        <w:t>出现可能影响贷款安全的不利情形时，贷款管理机构负责人、管户责任人员应对贷款风险进行重新评价并采取合理风控措施</w:t>
      </w:r>
      <w:r>
        <w:rPr>
          <w:rFonts w:hint="eastAsia" w:ascii="仿宋_GB2312" w:hAnsi="仿宋_GB2312" w:eastAsia="仿宋_GB2312" w:cs="仿宋_GB2312"/>
          <w:color w:val="auto"/>
          <w:kern w:val="1"/>
          <w:sz w:val="32"/>
          <w:szCs w:val="32"/>
          <w:highlight w:val="none"/>
          <w:u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对出现重大风险隐患的，将督促客户及时整改，对限期内未完成整改的，要对其制定信贷压缩计划，逐步减少其授信余额。</w:t>
      </w:r>
    </w:p>
    <w:p w14:paraId="2B4D543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0" w:firstLineChars="0"/>
        <w:jc w:val="center"/>
        <w:textAlignment w:val="auto"/>
        <w:rPr>
          <w:rFonts w:hint="default"/>
          <w:highlight w:val="none"/>
          <w:lang w:val="en-US" w:eastAsia="zh-CN"/>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第六部分 </w:t>
      </w:r>
      <w:r>
        <w:rPr>
          <w:rFonts w:hint="default" w:ascii="黑体" w:hAnsi="黑体" w:eastAsia="黑体" w:cs="黑体"/>
          <w:color w:val="000000" w:themeColor="text1"/>
          <w:highlight w:val="none"/>
          <w:lang w:val="en-US" w:eastAsia="zh-CN"/>
          <w14:textFill>
            <w14:solidFill>
              <w14:schemeClr w14:val="tx1"/>
            </w14:solidFill>
          </w14:textFill>
        </w:rPr>
        <w:t>环境风险和机遇</w:t>
      </w:r>
      <w:bookmarkEnd w:id="28"/>
      <w:bookmarkEnd w:id="29"/>
    </w:p>
    <w:p w14:paraId="79D5C1F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highlight w:val="none"/>
          <w:lang w:val="en-US" w:eastAsia="zh-CN"/>
        </w:rPr>
      </w:pPr>
      <w:r>
        <w:rPr>
          <w:rFonts w:hint="default" w:ascii="仿宋_GB2312" w:hAnsi="仿宋_GB2312" w:eastAsia="仿宋_GB2312" w:cs="仿宋_GB2312"/>
          <w:color w:val="000000" w:themeColor="text1"/>
          <w:highlight w:val="none"/>
          <w:lang w:val="en-US" w:eastAsia="zh-CN"/>
          <w14:textFill>
            <w14:solidFill>
              <w14:schemeClr w14:val="tx1"/>
            </w14:solidFill>
          </w14:textFill>
        </w:rPr>
        <w:t>本行面临的环境风险</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包括转型风险与物理风险，转型</w:t>
      </w:r>
      <w:r>
        <w:rPr>
          <w:rFonts w:hint="default" w:ascii="仿宋_GB2312" w:hAnsi="仿宋_GB2312" w:eastAsia="仿宋_GB2312" w:cs="仿宋_GB2312"/>
          <w:color w:val="000000" w:themeColor="text1"/>
          <w:highlight w:val="none"/>
          <w:lang w:val="en-US" w:eastAsia="zh-CN"/>
          <w14:textFill>
            <w14:solidFill>
              <w14:schemeClr w14:val="tx1"/>
            </w14:solidFill>
          </w14:textFill>
        </w:rPr>
        <w:t>风险</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及</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应对措施见下表</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w:t>
      </w:r>
    </w:p>
    <w:tbl>
      <w:tblPr>
        <w:tblStyle w:val="17"/>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438"/>
        <w:gridCol w:w="2110"/>
        <w:gridCol w:w="2235"/>
      </w:tblGrid>
      <w:tr w14:paraId="650BC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blHeader/>
        </w:trPr>
        <w:tc>
          <w:tcPr>
            <w:tcW w:w="1736" w:type="dxa"/>
            <w:vAlign w:val="center"/>
          </w:tcPr>
          <w:p w14:paraId="3FF3E540">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风险来源</w:t>
            </w:r>
          </w:p>
        </w:tc>
        <w:tc>
          <w:tcPr>
            <w:tcW w:w="2438" w:type="dxa"/>
            <w:vAlign w:val="center"/>
          </w:tcPr>
          <w:p w14:paraId="1C40704F">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风险描述</w:t>
            </w:r>
          </w:p>
        </w:tc>
        <w:tc>
          <w:tcPr>
            <w:tcW w:w="2110" w:type="dxa"/>
            <w:vAlign w:val="center"/>
          </w:tcPr>
          <w:p w14:paraId="4C79F086">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主要影响</w:t>
            </w:r>
          </w:p>
        </w:tc>
        <w:tc>
          <w:tcPr>
            <w:tcW w:w="2235" w:type="dxa"/>
            <w:vAlign w:val="center"/>
          </w:tcPr>
          <w:p w14:paraId="6BFBC61A">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应对措施</w:t>
            </w:r>
          </w:p>
        </w:tc>
      </w:tr>
      <w:tr w14:paraId="0223D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736" w:type="dxa"/>
            <w:vAlign w:val="center"/>
          </w:tcPr>
          <w:p w14:paraId="69D673A6">
            <w:pPr>
              <w:pStyle w:val="21"/>
              <w:bidi w:val="0"/>
              <w:jc w:val="center"/>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政策及法律</w:t>
            </w:r>
          </w:p>
        </w:tc>
        <w:tc>
          <w:tcPr>
            <w:tcW w:w="2438" w:type="dxa"/>
            <w:vAlign w:val="center"/>
          </w:tcPr>
          <w:p w14:paraId="61E78968">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国家</w:t>
            </w:r>
            <w:r>
              <w:rPr>
                <w:rFonts w:hint="default" w:ascii="仿宋_GB2312" w:hAnsi="仿宋_GB2312" w:eastAsia="仿宋_GB2312" w:cs="仿宋_GB2312"/>
                <w:b w:val="0"/>
                <w:bCs w:val="0"/>
                <w:sz w:val="24"/>
                <w:szCs w:val="24"/>
                <w:highlight w:val="none"/>
                <w:lang w:val="en-US" w:eastAsia="zh-CN"/>
              </w:rPr>
              <w:t>对银行出台环境相关标准和发布系列规章制度等，不能及时把握政策导向进行业务转型的机构将面临政策与法规风险。</w:t>
            </w:r>
          </w:p>
        </w:tc>
        <w:tc>
          <w:tcPr>
            <w:tcW w:w="2110" w:type="dxa"/>
            <w:vAlign w:val="center"/>
          </w:tcPr>
          <w:p w14:paraId="52B6CC70">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如未能及时跟进国家相关法律法规及政策，制定和落实具体实施措施，可能需要付出额外的成本，甚至面临罚款或诉讼等法律风险。</w:t>
            </w:r>
          </w:p>
        </w:tc>
        <w:tc>
          <w:tcPr>
            <w:tcW w:w="2235" w:type="dxa"/>
            <w:vAlign w:val="center"/>
          </w:tcPr>
          <w:p w14:paraId="0B26E9C4">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持续完善绿色金融相关组织架构，响应国家政策，对应出台行内绿色金融相关政策。</w:t>
            </w:r>
          </w:p>
        </w:tc>
      </w:tr>
      <w:tr w14:paraId="00410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blHeader/>
        </w:trPr>
        <w:tc>
          <w:tcPr>
            <w:tcW w:w="1736" w:type="dxa"/>
            <w:vAlign w:val="center"/>
          </w:tcPr>
          <w:p w14:paraId="7C4CF0BA">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信用风险</w:t>
            </w:r>
          </w:p>
        </w:tc>
        <w:tc>
          <w:tcPr>
            <w:tcW w:w="2438" w:type="dxa"/>
            <w:vAlign w:val="center"/>
          </w:tcPr>
          <w:p w14:paraId="5C663B36">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能源转型、污染防治等相关政策的出台或标准提高，部分行业的成本增加，产量下降，经营稳定性下降</w:t>
            </w:r>
          </w:p>
        </w:tc>
        <w:tc>
          <w:tcPr>
            <w:tcW w:w="2110" w:type="dxa"/>
            <w:vAlign w:val="center"/>
          </w:tcPr>
          <w:p w14:paraId="5D3FD336">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客户经营发展受限，利润下降，偿债能力下降，违约率上升。</w:t>
            </w:r>
          </w:p>
        </w:tc>
        <w:tc>
          <w:tcPr>
            <w:tcW w:w="2235" w:type="dxa"/>
            <w:vAlign w:val="center"/>
          </w:tcPr>
          <w:p w14:paraId="6F343263">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协助客户转型升级</w:t>
            </w:r>
            <w:r>
              <w:rPr>
                <w:rFonts w:hint="eastAsia" w:ascii="仿宋_GB2312" w:hAnsi="仿宋_GB2312" w:eastAsia="仿宋_GB2312" w:cs="仿宋_GB2312"/>
                <w:b w:val="0"/>
                <w:bCs w:val="0"/>
                <w:sz w:val="24"/>
                <w:szCs w:val="24"/>
                <w:highlight w:val="none"/>
                <w:lang w:val="en-US" w:eastAsia="zh-CN"/>
              </w:rPr>
              <w:t>，加强业务管理，完善风险管理办法，动态监测客户风险预警信息。</w:t>
            </w:r>
          </w:p>
        </w:tc>
      </w:tr>
      <w:tr w14:paraId="0CAB6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736" w:type="dxa"/>
            <w:vAlign w:val="center"/>
          </w:tcPr>
          <w:p w14:paraId="66095BA6">
            <w:pPr>
              <w:pStyle w:val="21"/>
              <w:bidi w:val="0"/>
              <w:jc w:val="center"/>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市场风险</w:t>
            </w:r>
          </w:p>
        </w:tc>
        <w:tc>
          <w:tcPr>
            <w:tcW w:w="2438" w:type="dxa"/>
            <w:vAlign w:val="center"/>
          </w:tcPr>
          <w:p w14:paraId="4B3B363C">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能源转型</w:t>
            </w:r>
            <w:r>
              <w:rPr>
                <w:rFonts w:hint="eastAsia" w:ascii="仿宋_GB2312" w:hAnsi="仿宋_GB2312" w:eastAsia="仿宋_GB2312" w:cs="仿宋_GB2312"/>
                <w:b w:val="0"/>
                <w:bCs w:val="0"/>
                <w:sz w:val="24"/>
                <w:szCs w:val="24"/>
                <w:highlight w:val="none"/>
                <w:lang w:val="en-US" w:eastAsia="zh-CN"/>
              </w:rPr>
              <w:t>可能会影响市场价格导向，从而能导致企业的成本上升或者市场份额的降低，冲击客户的</w:t>
            </w:r>
            <w:r>
              <w:rPr>
                <w:rFonts w:hint="default" w:ascii="仿宋_GB2312" w:hAnsi="仿宋_GB2312" w:eastAsia="仿宋_GB2312" w:cs="仿宋_GB2312"/>
                <w:b w:val="0"/>
                <w:bCs w:val="0"/>
                <w:sz w:val="24"/>
                <w:szCs w:val="24"/>
                <w:highlight w:val="none"/>
                <w:lang w:val="en-US" w:eastAsia="zh-CN"/>
              </w:rPr>
              <w:t>盈利能力</w:t>
            </w:r>
            <w:r>
              <w:rPr>
                <w:rFonts w:hint="eastAsia" w:ascii="仿宋_GB2312" w:hAnsi="仿宋_GB2312" w:eastAsia="仿宋_GB2312" w:cs="仿宋_GB2312"/>
                <w:b w:val="0"/>
                <w:bCs w:val="0"/>
                <w:sz w:val="24"/>
                <w:szCs w:val="24"/>
                <w:highlight w:val="none"/>
                <w:lang w:val="en-US" w:eastAsia="zh-CN"/>
              </w:rPr>
              <w:t>。</w:t>
            </w:r>
          </w:p>
        </w:tc>
        <w:tc>
          <w:tcPr>
            <w:tcW w:w="2110" w:type="dxa"/>
            <w:vAlign w:val="center"/>
          </w:tcPr>
          <w:p w14:paraId="144039F0">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消费者更倾向于环保低碳消费，对部分高碳行业的经营受限。</w:t>
            </w:r>
          </w:p>
        </w:tc>
        <w:tc>
          <w:tcPr>
            <w:tcW w:w="2235" w:type="dxa"/>
            <w:vAlign w:val="center"/>
          </w:tcPr>
          <w:p w14:paraId="286098DE">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协助客户转型升级；优化绿色信</w:t>
            </w:r>
          </w:p>
          <w:p w14:paraId="2358C33C">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贷业务系统科技支撑。</w:t>
            </w:r>
          </w:p>
        </w:tc>
      </w:tr>
      <w:tr w14:paraId="01BBD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736" w:type="dxa"/>
            <w:vAlign w:val="center"/>
          </w:tcPr>
          <w:p w14:paraId="5BE4DE68">
            <w:pPr>
              <w:pStyle w:val="21"/>
              <w:bidi w:val="0"/>
              <w:jc w:val="center"/>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声誉风险</w:t>
            </w:r>
          </w:p>
        </w:tc>
        <w:tc>
          <w:tcPr>
            <w:tcW w:w="2438" w:type="dxa"/>
            <w:vAlign w:val="center"/>
          </w:tcPr>
          <w:p w14:paraId="5C849488">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环境不良表现和负面消息可能影响本行声誉</w:t>
            </w:r>
            <w:r>
              <w:rPr>
                <w:rFonts w:hint="eastAsia" w:ascii="仿宋_GB2312" w:hAnsi="仿宋_GB2312" w:eastAsia="仿宋_GB2312" w:cs="仿宋_GB2312"/>
                <w:b w:val="0"/>
                <w:bCs w:val="0"/>
                <w:sz w:val="24"/>
                <w:szCs w:val="24"/>
                <w:highlight w:val="none"/>
                <w:lang w:val="en-US" w:eastAsia="zh-CN"/>
              </w:rPr>
              <w:t>。</w:t>
            </w:r>
          </w:p>
        </w:tc>
        <w:tc>
          <w:tcPr>
            <w:tcW w:w="2110" w:type="dxa"/>
            <w:vAlign w:val="center"/>
          </w:tcPr>
          <w:p w14:paraId="34DD6E58">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冲击银行的品牌形象、客户关系，造成较大的负面影响。</w:t>
            </w:r>
          </w:p>
        </w:tc>
        <w:tc>
          <w:tcPr>
            <w:tcW w:w="2235" w:type="dxa"/>
            <w:vAlign w:val="center"/>
          </w:tcPr>
          <w:p w14:paraId="180AF6C4">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加强企业文化和品牌建设，积极承担社会责任，主动接受社会舆论监督并及时准确披露信息，定期开展声誉风险隐患排查。</w:t>
            </w:r>
          </w:p>
        </w:tc>
      </w:tr>
    </w:tbl>
    <w:p w14:paraId="28BE6A15">
      <w:pPr>
        <w:pStyle w:val="22"/>
        <w:keepNext w:val="0"/>
        <w:keepLines w:val="0"/>
        <w:pageBreakBefore w:val="0"/>
        <w:widowControl w:val="0"/>
        <w:numPr>
          <w:ilvl w:val="0"/>
          <w:numId w:val="0"/>
        </w:numPr>
        <w:tabs>
          <w:tab w:val="clear" w:pos="420"/>
        </w:tabs>
        <w:kinsoku/>
        <w:wordWrap/>
        <w:overflowPunct/>
        <w:topLinePunct w:val="0"/>
        <w:autoSpaceDE/>
        <w:autoSpaceDN/>
        <w:bidi w:val="0"/>
        <w:adjustRightInd/>
        <w:snapToGrid/>
        <w:ind w:left="0" w:leftChars="0" w:firstLine="320" w:firstLineChars="100"/>
        <w:jc w:val="both"/>
        <w:textAlignment w:val="auto"/>
        <w:rPr>
          <w:rFonts w:hint="default" w:ascii="仿宋_GB2312" w:hAnsi="仿宋_GB2312" w:eastAsia="仿宋_GB2312" w:cs="仿宋_GB2312"/>
          <w:b w:val="0"/>
          <w:color w:val="000000" w:themeColor="text1"/>
          <w:kern w:val="2"/>
          <w:sz w:val="32"/>
          <w:szCs w:val="22"/>
          <w:highlight w:val="none"/>
          <w:lang w:val="en-US" w:eastAsia="zh-CN" w:bidi="ar-SA"/>
          <w14:textFill>
            <w14:solidFill>
              <w14:schemeClr w14:val="tx1"/>
            </w14:solidFill>
          </w14:textFill>
        </w:rPr>
      </w:pPr>
      <w:r>
        <w:rPr>
          <w:rFonts w:hint="default" w:ascii="仿宋_GB2312" w:hAnsi="仿宋_GB2312" w:eastAsia="仿宋_GB2312" w:cs="仿宋_GB2312"/>
          <w:b w:val="0"/>
          <w:color w:val="000000" w:themeColor="text1"/>
          <w:kern w:val="2"/>
          <w:sz w:val="32"/>
          <w:szCs w:val="22"/>
          <w:highlight w:val="none"/>
          <w:lang w:val="en-US" w:eastAsia="zh-CN" w:bidi="ar-SA"/>
          <w14:textFill>
            <w14:solidFill>
              <w14:schemeClr w14:val="tx1"/>
            </w14:solidFill>
          </w14:textFill>
        </w:rPr>
        <w:t>本行面临的物理风险及应对措施</w:t>
      </w:r>
      <w:r>
        <w:rPr>
          <w:rFonts w:hint="eastAsia" w:ascii="仿宋_GB2312" w:hAnsi="仿宋_GB2312" w:eastAsia="仿宋_GB2312" w:cs="仿宋_GB2312"/>
          <w:b w:val="0"/>
          <w:color w:val="000000" w:themeColor="text1"/>
          <w:kern w:val="2"/>
          <w:sz w:val="32"/>
          <w:szCs w:val="22"/>
          <w:highlight w:val="none"/>
          <w:lang w:val="en-US" w:eastAsia="zh-CN" w:bidi="ar-SA"/>
          <w14:textFill>
            <w14:solidFill>
              <w14:schemeClr w14:val="tx1"/>
            </w14:solidFill>
          </w14:textFill>
        </w:rPr>
        <w:t>见下表：</w:t>
      </w:r>
    </w:p>
    <w:tbl>
      <w:tblPr>
        <w:tblStyle w:val="17"/>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1199"/>
        <w:gridCol w:w="2700"/>
        <w:gridCol w:w="3014"/>
      </w:tblGrid>
      <w:tr w14:paraId="5E99A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763" w:type="dxa"/>
            <w:vAlign w:val="center"/>
          </w:tcPr>
          <w:p w14:paraId="0B8FE0DC">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风险</w:t>
            </w:r>
            <w:r>
              <w:rPr>
                <w:rFonts w:hint="eastAsia" w:ascii="黑体" w:hAnsi="黑体" w:eastAsia="黑体" w:cs="黑体"/>
                <w:b w:val="0"/>
                <w:bCs w:val="0"/>
                <w:sz w:val="24"/>
                <w:szCs w:val="24"/>
                <w:highlight w:val="none"/>
                <w:lang w:val="en-US" w:eastAsia="zh-CN"/>
              </w:rPr>
              <w:t>来源</w:t>
            </w:r>
          </w:p>
        </w:tc>
        <w:tc>
          <w:tcPr>
            <w:tcW w:w="1199" w:type="dxa"/>
            <w:vAlign w:val="center"/>
          </w:tcPr>
          <w:p w14:paraId="2844D714">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风险描述</w:t>
            </w:r>
          </w:p>
        </w:tc>
        <w:tc>
          <w:tcPr>
            <w:tcW w:w="2700" w:type="dxa"/>
            <w:vAlign w:val="center"/>
          </w:tcPr>
          <w:p w14:paraId="03116303">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主要影响</w:t>
            </w:r>
          </w:p>
        </w:tc>
        <w:tc>
          <w:tcPr>
            <w:tcW w:w="3014" w:type="dxa"/>
            <w:vAlign w:val="center"/>
          </w:tcPr>
          <w:p w14:paraId="6AE9D337">
            <w:pPr>
              <w:pStyle w:val="21"/>
              <w:bidi w:val="0"/>
              <w:jc w:val="center"/>
              <w:rPr>
                <w:rFonts w:hint="default" w:ascii="黑体" w:hAnsi="黑体" w:eastAsia="黑体" w:cs="黑体"/>
                <w:b w:val="0"/>
                <w:bCs w:val="0"/>
                <w:sz w:val="24"/>
                <w:szCs w:val="24"/>
                <w:highlight w:val="none"/>
                <w:lang w:val="en-US" w:eastAsia="zh-CN"/>
              </w:rPr>
            </w:pPr>
            <w:r>
              <w:rPr>
                <w:rFonts w:hint="default" w:ascii="黑体" w:hAnsi="黑体" w:eastAsia="黑体" w:cs="黑体"/>
                <w:b w:val="0"/>
                <w:bCs w:val="0"/>
                <w:sz w:val="24"/>
                <w:szCs w:val="24"/>
                <w:highlight w:val="none"/>
                <w:lang w:val="en-US" w:eastAsia="zh-CN"/>
              </w:rPr>
              <w:t>应对措施</w:t>
            </w:r>
          </w:p>
        </w:tc>
      </w:tr>
      <w:tr w14:paraId="4A882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3" w:type="dxa"/>
            <w:vAlign w:val="center"/>
          </w:tcPr>
          <w:p w14:paraId="70D64FEC">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短期风险</w:t>
            </w:r>
          </w:p>
        </w:tc>
        <w:tc>
          <w:tcPr>
            <w:tcW w:w="1199" w:type="dxa"/>
            <w:vAlign w:val="center"/>
          </w:tcPr>
          <w:p w14:paraId="688F8C5F">
            <w:pPr>
              <w:pStyle w:val="21"/>
              <w:bidi w:val="0"/>
              <w:jc w:val="center"/>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暴雨、台风等极端天气</w:t>
            </w:r>
          </w:p>
        </w:tc>
        <w:tc>
          <w:tcPr>
            <w:tcW w:w="2700" w:type="dxa"/>
            <w:vAlign w:val="center"/>
          </w:tcPr>
          <w:p w14:paraId="1C5CFE06">
            <w:pPr>
              <w:pStyle w:val="21"/>
              <w:bidi w:val="0"/>
              <w:jc w:val="left"/>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暴雨、洪水等极端天气可能导致本行的各营业网点、离行网点、办公场所等基础设施受影响，导致业务中断，影响业务连续性或导致本行财物受损，或对员工通勤过程中的健康安全造成影响。</w:t>
            </w:r>
          </w:p>
        </w:tc>
        <w:tc>
          <w:tcPr>
            <w:tcW w:w="3014" w:type="dxa"/>
            <w:vMerge w:val="restart"/>
            <w:vAlign w:val="center"/>
          </w:tcPr>
          <w:p w14:paraId="454496D5">
            <w:pPr>
              <w:pStyle w:val="21"/>
              <w:numPr>
                <w:ilvl w:val="0"/>
                <w:numId w:val="7"/>
              </w:numPr>
              <w:bidi w:val="0"/>
              <w:jc w:val="left"/>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积极关注如台风、洪涝等影响业务连续性的物理风险，做好充分的应急预案。积极关注高温、暴雨及台风等极端天气的情况，以保障员工安全为前提统筹安排网点的运营。结合部分气候风险较高的客户行业（如能源、交通、制造、农林牧渔、建筑业、批发零售业等），进一步搜集历史极端气候灾害及同期相关授信业务的信用风险状况等相关历史数据，建立情景分析或压力测试的量化分析体系，有效量化环境和气候的极端变化对本行信贷资产和财务状况的影响，以便及时提出应对措施。</w:t>
            </w:r>
          </w:p>
          <w:p w14:paraId="74C83EBA">
            <w:pPr>
              <w:pStyle w:val="21"/>
              <w:numPr>
                <w:ilvl w:val="0"/>
                <w:numId w:val="7"/>
              </w:numPr>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在信贷资产授信流程中将环境风险纳入考量。</w:t>
            </w:r>
          </w:p>
        </w:tc>
      </w:tr>
      <w:tr w14:paraId="12B24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3" w:type="dxa"/>
            <w:vAlign w:val="center"/>
          </w:tcPr>
          <w:p w14:paraId="510B369C">
            <w:pPr>
              <w:pStyle w:val="21"/>
              <w:bidi w:val="0"/>
              <w:jc w:val="center"/>
              <w:rPr>
                <w:rFonts w:hint="default"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长期风险</w:t>
            </w:r>
          </w:p>
        </w:tc>
        <w:tc>
          <w:tcPr>
            <w:tcW w:w="1199" w:type="dxa"/>
            <w:vAlign w:val="center"/>
          </w:tcPr>
          <w:p w14:paraId="0D042DAE">
            <w:pPr>
              <w:pStyle w:val="21"/>
              <w:bidi w:val="0"/>
              <w:jc w:val="center"/>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自然风险</w:t>
            </w:r>
          </w:p>
        </w:tc>
        <w:tc>
          <w:tcPr>
            <w:tcW w:w="2700" w:type="dxa"/>
            <w:vAlign w:val="center"/>
          </w:tcPr>
          <w:p w14:paraId="52ADF869">
            <w:pPr>
              <w:pStyle w:val="21"/>
              <w:bidi w:val="0"/>
              <w:jc w:val="left"/>
              <w:rPr>
                <w:rFonts w:hint="default" w:ascii="仿宋_GB2312" w:hAnsi="仿宋_GB2312" w:eastAsia="仿宋_GB2312" w:cs="仿宋_GB2312"/>
                <w:b w:val="0"/>
                <w:bCs w:val="0"/>
                <w:sz w:val="24"/>
                <w:szCs w:val="24"/>
                <w:highlight w:val="none"/>
                <w:lang w:val="en-US" w:eastAsia="zh-CN"/>
              </w:rPr>
            </w:pPr>
            <w:r>
              <w:rPr>
                <w:rFonts w:hint="default" w:ascii="仿宋_GB2312" w:hAnsi="仿宋_GB2312" w:eastAsia="仿宋_GB2312" w:cs="仿宋_GB2312"/>
                <w:b w:val="0"/>
                <w:bCs w:val="0"/>
                <w:sz w:val="24"/>
                <w:szCs w:val="24"/>
                <w:highlight w:val="none"/>
                <w:lang w:val="en-US" w:eastAsia="zh-CN"/>
              </w:rPr>
              <w:t>授信对象因自然风险（包括突发性事件和慢性污染）财产损失或中断运营，可能进一步影响本行损益。</w:t>
            </w:r>
          </w:p>
        </w:tc>
        <w:tc>
          <w:tcPr>
            <w:tcW w:w="3014" w:type="dxa"/>
            <w:vMerge w:val="continue"/>
            <w:vAlign w:val="center"/>
          </w:tcPr>
          <w:p w14:paraId="4A532CE5">
            <w:pPr>
              <w:pStyle w:val="21"/>
              <w:bidi w:val="0"/>
              <w:jc w:val="left"/>
              <w:rPr>
                <w:rFonts w:hint="default" w:ascii="仿宋_GB2312" w:hAnsi="仿宋_GB2312" w:eastAsia="仿宋_GB2312" w:cs="仿宋_GB2312"/>
                <w:b w:val="0"/>
                <w:bCs w:val="0"/>
                <w:sz w:val="24"/>
                <w:szCs w:val="24"/>
                <w:highlight w:val="none"/>
                <w:lang w:val="en-US" w:eastAsia="zh-CN"/>
              </w:rPr>
            </w:pPr>
          </w:p>
        </w:tc>
      </w:tr>
    </w:tbl>
    <w:p w14:paraId="41FBBB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pPr>
      <w:bookmarkStart w:id="30" w:name="_Toc7678"/>
      <w:bookmarkStart w:id="31" w:name="_Toc11709"/>
      <w:r>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t>本行在面对这些环境风险时，也会遇到新的发展机遇，具体来说：</w:t>
      </w:r>
    </w:p>
    <w:p w14:paraId="2C5D4F4D">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t>1.降低运营成本。通过采用节能减排技术和绿色办公举措等，有效减少运营过程中的化石能源消耗，进而降低运</w:t>
      </w:r>
    </w:p>
    <w:p w14:paraId="69EE0FBD">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t>营成本；</w:t>
      </w:r>
    </w:p>
    <w:p w14:paraId="211AC70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t>2.扩展绿色产品与服务。持续创新绿色金融与转型金融产品，满足客户需求，提升市场竞争力，助力绿色低碳转型；</w:t>
      </w:r>
    </w:p>
    <w:p w14:paraId="6EB0E8C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highlight w:val="none"/>
          <w:lang w:val="en-US" w:eastAsia="zh-CN"/>
          <w14:textFill>
            <w14:solidFill>
              <w14:schemeClr w14:val="tx1"/>
            </w14:solidFill>
          </w14:textFill>
        </w:rPr>
        <w:t>3.提升企业形象。积极落实碳达峰、碳中和“1+N”政策要求，有效应对环境与气候变化风险，不仅可以有效规避运营过程中的损失，也有助于获得社会公众、客户、投资者等利益相关方的正面评价，提升本行社会形象。</w:t>
      </w:r>
    </w:p>
    <w:p w14:paraId="37E1272F">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20" w:lineRule="exact"/>
        <w:ind w:left="0" w:leftChars="0" w:firstLine="0" w:firstLineChars="0"/>
        <w:jc w:val="center"/>
        <w:textAlignment w:val="auto"/>
        <w:rPr>
          <w:rFonts w:hint="default" w:ascii="黑体" w:hAnsi="黑体" w:eastAsia="黑体" w:cs="黑体"/>
          <w:color w:val="000000" w:themeColor="text1"/>
          <w:highlight w:val="none"/>
          <w:lang w:val="en-US" w:eastAsia="zh-CN"/>
          <w14:textFill>
            <w14:solidFill>
              <w14:schemeClr w14:val="tx1"/>
            </w14:solidFill>
          </w14:textFill>
        </w:rPr>
      </w:pPr>
      <w:r>
        <w:rPr>
          <w:rFonts w:hint="eastAsia" w:ascii="黑体" w:hAnsi="黑体" w:eastAsia="黑体" w:cs="黑体"/>
          <w:color w:val="000000" w:themeColor="text1"/>
          <w:kern w:val="2"/>
          <w:sz w:val="32"/>
          <w:szCs w:val="32"/>
          <w:highlight w:val="none"/>
          <w:lang w:val="en-US" w:eastAsia="zh-CN" w:bidi="ar-SA"/>
          <w14:textFill>
            <w14:solidFill>
              <w14:schemeClr w14:val="tx1"/>
            </w14:solidFill>
          </w14:textFill>
        </w:rPr>
        <w:t xml:space="preserve">第七部分 </w:t>
      </w:r>
      <w:r>
        <w:rPr>
          <w:rFonts w:hint="eastAsia" w:ascii="黑体" w:hAnsi="黑体" w:eastAsia="黑体" w:cs="黑体"/>
          <w:color w:val="000000" w:themeColor="text1"/>
          <w:highlight w:val="none"/>
          <w:lang w:val="en-US" w:eastAsia="zh-CN"/>
          <w14:textFill>
            <w14:solidFill>
              <w14:schemeClr w14:val="tx1"/>
            </w14:solidFill>
          </w14:textFill>
        </w:rPr>
        <w:t>本行</w:t>
      </w:r>
      <w:r>
        <w:rPr>
          <w:rFonts w:hint="default" w:ascii="黑体" w:hAnsi="黑体" w:eastAsia="黑体" w:cs="黑体"/>
          <w:color w:val="000000" w:themeColor="text1"/>
          <w:highlight w:val="none"/>
          <w:lang w:val="en-US" w:eastAsia="zh-CN"/>
          <w14:textFill>
            <w14:solidFill>
              <w14:schemeClr w14:val="tx1"/>
            </w14:solidFill>
          </w14:textFill>
        </w:rPr>
        <w:t>投融资所产生的环境影响</w:t>
      </w:r>
      <w:bookmarkEnd w:id="30"/>
      <w:bookmarkEnd w:id="31"/>
    </w:p>
    <w:p w14:paraId="510D2C6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黑体" w:hAnsi="黑体" w:eastAsia="黑体" w:cs="黑体"/>
          <w:color w:val="000000" w:themeColor="text1"/>
          <w:highlight w:val="none"/>
          <w:lang w:val="en-US" w:eastAsia="zh-CN"/>
          <w14:textFill>
            <w14:solidFill>
              <w14:schemeClr w14:val="tx1"/>
            </w14:solidFill>
          </w14:textFill>
        </w:rPr>
        <w:t>（一）</w:t>
      </w:r>
      <w:r>
        <w:rPr>
          <w:rFonts w:hint="eastAsia" w:ascii="黑体" w:hAnsi="黑体" w:eastAsia="黑体" w:cs="黑体"/>
          <w:b w:val="0"/>
          <w:bCs/>
          <w:color w:val="000000" w:themeColor="text1"/>
          <w:szCs w:val="32"/>
          <w:highlight w:val="none"/>
          <w:lang w:val="en-US" w:eastAsia="zh-CN"/>
          <w14:textFill>
            <w14:solidFill>
              <w14:schemeClr w14:val="tx1"/>
            </w14:solidFill>
          </w14:textFill>
        </w:rPr>
        <w:t>本行投融资活动产生的环境影响</w:t>
      </w:r>
    </w:p>
    <w:p w14:paraId="622E5A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bCs/>
          <w:color w:val="000000" w:themeColor="text1"/>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highlight w:val="none"/>
          <w:lang w:val="en-US" w:eastAsia="zh-CN"/>
          <w14:textFill>
            <w14:solidFill>
              <w14:schemeClr w14:val="tx1"/>
            </w14:solidFill>
          </w14:textFill>
        </w:rPr>
        <w:t>1.绿色投融资活动的环境效益</w:t>
      </w:r>
      <w:bookmarkStart w:id="38" w:name="_GoBack"/>
      <w:bookmarkEnd w:id="38"/>
    </w:p>
    <w:p w14:paraId="0763FD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r>
        <w:rPr>
          <w:rFonts w:hint="default" w:ascii="仿宋_GB2312" w:hAnsi="仿宋_GB2312" w:eastAsia="仿宋_GB2312" w:cs="仿宋_GB2312"/>
          <w:color w:val="000000" w:themeColor="text1"/>
          <w:highlight w:val="none"/>
          <w:lang w:val="en-US" w:eastAsia="zh-CN"/>
          <w14:textFill>
            <w14:solidFill>
              <w14:schemeClr w14:val="tx1"/>
            </w14:solidFill>
          </w14:textFill>
        </w:rPr>
        <w:t>截至报告期末，本行</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各项</w:t>
      </w:r>
      <w:r>
        <w:rPr>
          <w:rFonts w:hint="default" w:ascii="仿宋_GB2312" w:hAnsi="仿宋_GB2312" w:eastAsia="仿宋_GB2312" w:cs="仿宋_GB2312"/>
          <w:color w:val="000000" w:themeColor="text1"/>
          <w:highlight w:val="none"/>
          <w:lang w:val="en-US" w:eastAsia="zh-CN"/>
          <w14:textFill>
            <w14:solidFill>
              <w14:schemeClr w14:val="tx1"/>
            </w14:solidFill>
          </w14:textFill>
        </w:rPr>
        <w:t>贷款余额</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413.83</w:t>
      </w:r>
      <w:r>
        <w:rPr>
          <w:rFonts w:hint="default" w:ascii="仿宋_GB2312" w:hAnsi="仿宋_GB2312" w:eastAsia="仿宋_GB2312" w:cs="仿宋_GB2312"/>
          <w:color w:val="000000" w:themeColor="text1"/>
          <w:highlight w:val="none"/>
          <w:lang w:val="en-US" w:eastAsia="zh-CN"/>
          <w14:textFill>
            <w14:solidFill>
              <w14:schemeClr w14:val="tx1"/>
            </w14:solidFill>
          </w14:textFill>
        </w:rPr>
        <w:t>亿元，其中绿色贷款余额</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8.80</w:t>
      </w:r>
      <w:r>
        <w:rPr>
          <w:rFonts w:hint="default" w:ascii="仿宋_GB2312" w:hAnsi="仿宋_GB2312" w:eastAsia="仿宋_GB2312" w:cs="仿宋_GB2312"/>
          <w:color w:val="000000" w:themeColor="text1"/>
          <w:highlight w:val="none"/>
          <w:lang w:val="en-US" w:eastAsia="zh-CN"/>
          <w14:textFill>
            <w14:solidFill>
              <w14:schemeClr w14:val="tx1"/>
            </w14:solidFill>
          </w14:textFill>
        </w:rPr>
        <w:t>亿元</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，较上年增加0.99亿元，增幅12.71%，高于各项贷款增速3.18个百分点</w:t>
      </w:r>
      <w:r>
        <w:rPr>
          <w:rFonts w:hint="default" w:ascii="仿宋_GB2312" w:hAnsi="仿宋_GB2312" w:eastAsia="仿宋_GB2312" w:cs="仿宋_GB2312"/>
          <w:color w:val="000000" w:themeColor="text1"/>
          <w:highlight w:val="none"/>
          <w:lang w:val="en-US" w:eastAsia="zh-CN"/>
          <w14:textFill>
            <w14:solidFill>
              <w14:schemeClr w14:val="tx1"/>
            </w14:solidFill>
          </w14:textFill>
        </w:rPr>
        <w:t>。绿色信贷投向</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主要</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分布在节能环保产业、清洁生产产业、清洁能源产业、生态环境产业和基础设施绿色升级产业。本行202</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4</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年绿色信贷投向领域具体如下表：</w:t>
      </w:r>
    </w:p>
    <w:tbl>
      <w:tblPr>
        <w:tblStyle w:val="16"/>
        <w:tblpPr w:leftFromText="180" w:rightFromText="180" w:vertAnchor="text" w:horzAnchor="page" w:tblpX="1798" w:tblpY="490"/>
        <w:tblOverlap w:val="never"/>
        <w:tblW w:w="85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12"/>
        <w:gridCol w:w="2129"/>
        <w:gridCol w:w="3348"/>
        <w:gridCol w:w="1231"/>
      </w:tblGrid>
      <w:tr w14:paraId="36FA0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jc w:val="center"/>
        </w:trPr>
        <w:tc>
          <w:tcPr>
            <w:tcW w:w="18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242E">
            <w:pPr>
              <w:pStyle w:val="21"/>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一级项目</w:t>
            </w:r>
          </w:p>
        </w:tc>
        <w:tc>
          <w:tcPr>
            <w:tcW w:w="2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CF845">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二级项目</w:t>
            </w:r>
          </w:p>
        </w:tc>
        <w:tc>
          <w:tcPr>
            <w:tcW w:w="33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1CC5">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三级项目</w:t>
            </w:r>
          </w:p>
        </w:tc>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B1F1">
            <w:pPr>
              <w:pStyle w:val="21"/>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贷款余额</w:t>
            </w:r>
          </w:p>
          <w:p w14:paraId="0ED11A98">
            <w:pPr>
              <w:pStyle w:val="21"/>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（万元）</w:t>
            </w:r>
          </w:p>
        </w:tc>
      </w:tr>
      <w:tr w14:paraId="137F2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812" w:type="dxa"/>
            <w:vMerge w:val="restart"/>
            <w:tcBorders>
              <w:top w:val="single" w:color="000000" w:sz="4" w:space="0"/>
              <w:left w:val="single" w:color="000000" w:sz="4" w:space="0"/>
              <w:right w:val="single" w:color="000000" w:sz="4" w:space="0"/>
            </w:tcBorders>
            <w:shd w:val="clear" w:color="auto" w:fill="auto"/>
            <w:vAlign w:val="center"/>
          </w:tcPr>
          <w:p w14:paraId="461EF73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1.节能环保产业</w:t>
            </w:r>
          </w:p>
        </w:tc>
        <w:tc>
          <w:tcPr>
            <w:tcW w:w="2129" w:type="dxa"/>
            <w:vMerge w:val="restart"/>
            <w:tcBorders>
              <w:top w:val="single" w:color="000000" w:sz="4" w:space="0"/>
              <w:left w:val="single" w:color="000000" w:sz="4" w:space="0"/>
              <w:right w:val="single" w:color="000000" w:sz="4" w:space="0"/>
            </w:tcBorders>
            <w:shd w:val="clear" w:color="auto" w:fill="auto"/>
            <w:vAlign w:val="center"/>
          </w:tcPr>
          <w:p w14:paraId="3776FE02">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1.1高效节能装备制造</w:t>
            </w: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D13A">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1.1.5 节能型液压气压元件制造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5F7B">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2800</w:t>
            </w:r>
          </w:p>
        </w:tc>
      </w:tr>
      <w:tr w14:paraId="60623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1812" w:type="dxa"/>
            <w:vMerge w:val="continue"/>
            <w:tcBorders>
              <w:left w:val="single" w:color="000000" w:sz="4" w:space="0"/>
              <w:right w:val="single" w:color="000000" w:sz="4" w:space="0"/>
            </w:tcBorders>
            <w:shd w:val="clear" w:color="auto" w:fill="auto"/>
            <w:vAlign w:val="center"/>
          </w:tcPr>
          <w:p w14:paraId="00FA3C6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2129" w:type="dxa"/>
            <w:vMerge w:val="continue"/>
            <w:tcBorders>
              <w:left w:val="single" w:color="000000" w:sz="4" w:space="0"/>
              <w:right w:val="single" w:color="000000" w:sz="4" w:space="0"/>
            </w:tcBorders>
            <w:shd w:val="clear" w:color="auto" w:fill="auto"/>
            <w:vAlign w:val="center"/>
          </w:tcPr>
          <w:p w14:paraId="363DADA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E0DC">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1.1.8 节能电机制造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FAD5">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390</w:t>
            </w:r>
          </w:p>
        </w:tc>
      </w:tr>
      <w:tr w14:paraId="51ECD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1812" w:type="dxa"/>
            <w:vMerge w:val="continue"/>
            <w:tcBorders>
              <w:left w:val="single" w:color="000000" w:sz="4" w:space="0"/>
              <w:right w:val="single" w:color="000000" w:sz="4" w:space="0"/>
            </w:tcBorders>
            <w:shd w:val="clear" w:color="auto" w:fill="auto"/>
            <w:vAlign w:val="center"/>
          </w:tcPr>
          <w:p w14:paraId="66C061F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2129" w:type="dxa"/>
            <w:vMerge w:val="continue"/>
            <w:tcBorders>
              <w:left w:val="single" w:color="000000" w:sz="4" w:space="0"/>
              <w:right w:val="single" w:color="000000" w:sz="4" w:space="0"/>
            </w:tcBorders>
            <w:shd w:val="clear" w:color="auto" w:fill="auto"/>
            <w:vAlign w:val="center"/>
          </w:tcPr>
          <w:p w14:paraId="5FA023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4391D">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1.1.13 高效照明产品及系统制造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4ADF">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5800</w:t>
            </w:r>
          </w:p>
        </w:tc>
      </w:tr>
      <w:tr w14:paraId="1AB34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812" w:type="dxa"/>
            <w:vMerge w:val="continue"/>
            <w:tcBorders>
              <w:left w:val="single" w:color="000000" w:sz="4" w:space="0"/>
              <w:right w:val="single" w:color="000000" w:sz="4" w:space="0"/>
            </w:tcBorders>
            <w:shd w:val="clear" w:color="auto" w:fill="auto"/>
            <w:vAlign w:val="center"/>
          </w:tcPr>
          <w:p w14:paraId="01EF982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2129" w:type="dxa"/>
            <w:vMerge w:val="continue"/>
            <w:tcBorders>
              <w:left w:val="single" w:color="000000" w:sz="4" w:space="0"/>
              <w:bottom w:val="single" w:color="000000" w:sz="4" w:space="0"/>
              <w:right w:val="single" w:color="000000" w:sz="4" w:space="0"/>
            </w:tcBorders>
            <w:shd w:val="clear" w:color="auto" w:fill="auto"/>
            <w:vAlign w:val="center"/>
          </w:tcPr>
          <w:p w14:paraId="63EDFD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E049">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1.1.14绿色建筑材料制造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1418">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500</w:t>
            </w:r>
          </w:p>
        </w:tc>
      </w:tr>
      <w:tr w14:paraId="37D03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812" w:type="dxa"/>
            <w:vMerge w:val="continue"/>
            <w:tcBorders>
              <w:left w:val="single" w:color="000000" w:sz="4" w:space="0"/>
              <w:right w:val="single" w:color="000000" w:sz="4" w:space="0"/>
            </w:tcBorders>
            <w:shd w:val="clear" w:color="auto" w:fill="auto"/>
            <w:vAlign w:val="center"/>
          </w:tcPr>
          <w:p w14:paraId="4394F2AF">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vMerge w:val="restart"/>
            <w:tcBorders>
              <w:top w:val="single" w:color="000000" w:sz="4" w:space="0"/>
              <w:left w:val="single" w:color="000000" w:sz="4" w:space="0"/>
              <w:right w:val="single" w:color="000000" w:sz="4" w:space="0"/>
            </w:tcBorders>
            <w:shd w:val="clear" w:color="auto" w:fill="FFFFFF"/>
            <w:vAlign w:val="center"/>
          </w:tcPr>
          <w:p w14:paraId="20E1A01D">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1.2 先进环保装备制造</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67DC0">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1.2.2大气污染防治装备制造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7131">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1000</w:t>
            </w:r>
          </w:p>
        </w:tc>
      </w:tr>
      <w:tr w14:paraId="2DCA6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jc w:val="center"/>
        </w:trPr>
        <w:tc>
          <w:tcPr>
            <w:tcW w:w="1812" w:type="dxa"/>
            <w:vMerge w:val="continue"/>
            <w:tcBorders>
              <w:left w:val="single" w:color="000000" w:sz="4" w:space="0"/>
              <w:right w:val="single" w:color="000000" w:sz="4" w:space="0"/>
            </w:tcBorders>
            <w:shd w:val="clear" w:color="auto" w:fill="auto"/>
            <w:vAlign w:val="center"/>
          </w:tcPr>
          <w:p w14:paraId="72EB3C7C">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vMerge w:val="continue"/>
            <w:tcBorders>
              <w:left w:val="single" w:color="000000" w:sz="4" w:space="0"/>
              <w:bottom w:val="single" w:color="000000" w:sz="4" w:space="0"/>
              <w:right w:val="single" w:color="000000" w:sz="4" w:space="0"/>
            </w:tcBorders>
            <w:shd w:val="clear" w:color="auto" w:fill="FFFFFF"/>
            <w:vAlign w:val="center"/>
          </w:tcPr>
          <w:p w14:paraId="2687A679">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1C450">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1.2.6 放射性污染防治和处理设备制造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EDF1">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5990</w:t>
            </w:r>
          </w:p>
        </w:tc>
      </w:tr>
      <w:tr w14:paraId="73C54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812" w:type="dxa"/>
            <w:vMerge w:val="continue"/>
            <w:tcBorders>
              <w:left w:val="single" w:color="000000" w:sz="4" w:space="0"/>
              <w:right w:val="single" w:color="000000" w:sz="4" w:space="0"/>
            </w:tcBorders>
            <w:shd w:val="clear" w:color="auto" w:fill="auto"/>
            <w:vAlign w:val="center"/>
          </w:tcPr>
          <w:p w14:paraId="74EC341B">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vMerge w:val="restart"/>
            <w:tcBorders>
              <w:top w:val="single" w:color="000000" w:sz="4" w:space="0"/>
              <w:left w:val="single" w:color="000000" w:sz="4" w:space="0"/>
              <w:right w:val="single" w:color="000000" w:sz="4" w:space="0"/>
            </w:tcBorders>
            <w:shd w:val="clear" w:color="auto" w:fill="FFFFFF"/>
            <w:vAlign w:val="center"/>
          </w:tcPr>
          <w:p w14:paraId="31901091">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1.4新能源汽车和绿色船舶制造</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6B6D9">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1.4.1 新能源汽车关键零部件制造和产业化</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1CDA">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15330</w:t>
            </w:r>
          </w:p>
        </w:tc>
      </w:tr>
      <w:tr w14:paraId="30E4B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1812" w:type="dxa"/>
            <w:vMerge w:val="continue"/>
            <w:tcBorders>
              <w:left w:val="single" w:color="000000" w:sz="4" w:space="0"/>
              <w:right w:val="single" w:color="000000" w:sz="4" w:space="0"/>
            </w:tcBorders>
            <w:shd w:val="clear" w:color="auto" w:fill="auto"/>
            <w:vAlign w:val="center"/>
          </w:tcPr>
          <w:p w14:paraId="55126977">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vMerge w:val="continue"/>
            <w:tcBorders>
              <w:left w:val="single" w:color="000000" w:sz="4" w:space="0"/>
              <w:bottom w:val="single" w:color="000000" w:sz="4" w:space="0"/>
              <w:right w:val="single" w:color="000000" w:sz="4" w:space="0"/>
            </w:tcBorders>
            <w:shd w:val="clear" w:color="auto" w:fill="FFFFFF"/>
            <w:vAlign w:val="center"/>
          </w:tcPr>
          <w:p w14:paraId="65B03FC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4F209E">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1.4.2 充电、换电及加氢设施制造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E13D">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8910</w:t>
            </w:r>
          </w:p>
        </w:tc>
      </w:tr>
      <w:tr w14:paraId="42E13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1812" w:type="dxa"/>
            <w:vMerge w:val="continue"/>
            <w:tcBorders>
              <w:left w:val="single" w:color="000000" w:sz="4" w:space="0"/>
              <w:right w:val="single" w:color="000000" w:sz="4" w:space="0"/>
            </w:tcBorders>
            <w:shd w:val="clear" w:color="auto" w:fill="auto"/>
            <w:vAlign w:val="center"/>
          </w:tcPr>
          <w:p w14:paraId="30584AAD">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tcBorders>
              <w:left w:val="single" w:color="000000" w:sz="4" w:space="0"/>
              <w:bottom w:val="single" w:color="000000" w:sz="4" w:space="0"/>
              <w:right w:val="single" w:color="000000" w:sz="4" w:space="0"/>
            </w:tcBorders>
            <w:shd w:val="clear" w:color="auto" w:fill="FFFFFF"/>
            <w:vAlign w:val="center"/>
          </w:tcPr>
          <w:p w14:paraId="0B3D8970">
            <w:pPr>
              <w:keepNext w:val="0"/>
              <w:keepLines w:val="0"/>
              <w:widowControl/>
              <w:suppressLineNumbers w:val="0"/>
              <w:spacing w:line="240" w:lineRule="auto"/>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1.5节能改造</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9B0A97">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1.5.2电机系统能效提升</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E908">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980</w:t>
            </w:r>
          </w:p>
        </w:tc>
      </w:tr>
      <w:tr w14:paraId="6DE65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1812" w:type="dxa"/>
            <w:vMerge w:val="continue"/>
            <w:tcBorders>
              <w:left w:val="single" w:color="000000" w:sz="4" w:space="0"/>
              <w:bottom w:val="single" w:color="000000" w:sz="4" w:space="0"/>
              <w:right w:val="single" w:color="000000" w:sz="4" w:space="0"/>
            </w:tcBorders>
            <w:shd w:val="clear" w:color="auto" w:fill="auto"/>
            <w:vAlign w:val="center"/>
          </w:tcPr>
          <w:p w14:paraId="77485CD4">
            <w:pPr>
              <w:spacing w:line="240" w:lineRule="auto"/>
              <w:jc w:val="center"/>
              <w:rPr>
                <w:rFonts w:hint="eastAsia" w:ascii="仿宋_GB2312" w:hAnsi="仿宋_GB2312" w:eastAsia="仿宋_GB2312" w:cs="仿宋_GB2312"/>
                <w:i w:val="0"/>
                <w:iCs w:val="0"/>
                <w:color w:val="000000"/>
                <w:sz w:val="22"/>
                <w:szCs w:val="22"/>
                <w:highlight w:val="none"/>
                <w:u w:val="none"/>
              </w:rPr>
            </w:pPr>
          </w:p>
        </w:tc>
        <w:tc>
          <w:tcPr>
            <w:tcW w:w="2129" w:type="dxa"/>
            <w:tcBorders>
              <w:left w:val="single" w:color="000000" w:sz="4" w:space="0"/>
              <w:bottom w:val="single" w:color="000000" w:sz="4" w:space="0"/>
              <w:right w:val="single" w:color="000000" w:sz="4" w:space="0"/>
            </w:tcBorders>
            <w:shd w:val="clear" w:color="auto" w:fill="FFFFFF"/>
            <w:vAlign w:val="center"/>
          </w:tcPr>
          <w:p w14:paraId="577ECF7B">
            <w:pPr>
              <w:keepNext w:val="0"/>
              <w:keepLines w:val="0"/>
              <w:widowControl/>
              <w:suppressLineNumbers w:val="0"/>
              <w:spacing w:line="240" w:lineRule="auto"/>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1.6污染治理</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4AC92">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1.6.1良好水体保护及地下水环境防治</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1C7F3">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4000</w:t>
            </w:r>
          </w:p>
        </w:tc>
      </w:tr>
      <w:tr w14:paraId="6B48E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jc w:val="center"/>
        </w:trPr>
        <w:tc>
          <w:tcPr>
            <w:tcW w:w="1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D4097">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2.清洁生产产业</w:t>
            </w: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8B41AB">
            <w:pPr>
              <w:keepNext w:val="0"/>
              <w:keepLines w:val="0"/>
              <w:widowControl/>
              <w:suppressLineNumbers w:val="0"/>
              <w:spacing w:line="240" w:lineRule="auto"/>
              <w:ind w:left="220" w:leftChars="0" w:hanging="220" w:hangingChars="10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2.5 生产过程废渣处理处置及资源化综合利用</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6AD66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2.5.1 工业固体废弃物无害化处理处置及综合利用</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8B87">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500</w:t>
            </w:r>
          </w:p>
        </w:tc>
      </w:tr>
      <w:tr w14:paraId="4329F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1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374D4">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3.清洁能源产业</w:t>
            </w: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2457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3.1 新能源与清洁能源装备制造</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C4B2A">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3.1.2 太阳能发电装备制造</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52C6">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8460</w:t>
            </w:r>
          </w:p>
        </w:tc>
      </w:tr>
      <w:tr w14:paraId="69574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jc w:val="center"/>
        </w:trPr>
        <w:tc>
          <w:tcPr>
            <w:tcW w:w="1812" w:type="dxa"/>
            <w:vMerge w:val="restart"/>
            <w:tcBorders>
              <w:top w:val="single" w:color="000000" w:sz="4" w:space="0"/>
              <w:left w:val="single" w:color="000000" w:sz="4" w:space="0"/>
              <w:right w:val="single" w:color="000000" w:sz="4" w:space="0"/>
            </w:tcBorders>
            <w:shd w:val="clear" w:color="auto" w:fill="FFFFFF"/>
            <w:vAlign w:val="center"/>
          </w:tcPr>
          <w:p w14:paraId="42534E2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4.生态环境产业</w:t>
            </w: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DEAB4E">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4.1 生态农业</w:t>
            </w: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9E82">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4.1.2 绿色有机农业</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90E6">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3100</w:t>
            </w:r>
          </w:p>
        </w:tc>
      </w:tr>
      <w:tr w14:paraId="511DB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812" w:type="dxa"/>
            <w:vMerge w:val="continue"/>
            <w:tcBorders>
              <w:left w:val="single" w:color="000000" w:sz="4" w:space="0"/>
              <w:bottom w:val="single" w:color="000000" w:sz="4" w:space="0"/>
              <w:right w:val="single" w:color="000000" w:sz="4" w:space="0"/>
            </w:tcBorders>
            <w:shd w:val="clear" w:color="auto" w:fill="FFFFFF"/>
            <w:vAlign w:val="center"/>
          </w:tcPr>
          <w:p w14:paraId="0957177C">
            <w:pPr>
              <w:keepNext w:val="0"/>
              <w:keepLines w:val="0"/>
              <w:widowControl/>
              <w:suppressLineNumbers w:val="0"/>
              <w:spacing w:line="240" w:lineRule="auto"/>
              <w:jc w:val="center"/>
              <w:textAlignment w:val="center"/>
              <w:rPr>
                <w:rFonts w:hint="eastAsia" w:ascii="仿宋_GB2312" w:hAnsi="仿宋_GB2312" w:eastAsia="仿宋_GB2312" w:cs="仿宋_GB2312"/>
                <w:b/>
                <w:bCs/>
                <w:i w:val="0"/>
                <w:iCs w:val="0"/>
                <w:color w:val="000000"/>
                <w:kern w:val="0"/>
                <w:sz w:val="22"/>
                <w:szCs w:val="22"/>
                <w:highlight w:val="none"/>
                <w:u w:val="none"/>
                <w:lang w:val="en-US" w:eastAsia="zh-CN" w:bidi="ar"/>
              </w:rPr>
            </w:pP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BF16CD">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4.3 生态修复</w:t>
            </w:r>
          </w:p>
        </w:tc>
        <w:tc>
          <w:tcPr>
            <w:tcW w:w="3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A3AE">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4.3.2 河湖与湿地保护恢复</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888E">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6650</w:t>
            </w:r>
          </w:p>
        </w:tc>
      </w:tr>
      <w:tr w14:paraId="0D3DA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jc w:val="center"/>
        </w:trPr>
        <w:tc>
          <w:tcPr>
            <w:tcW w:w="18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27A8A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5.基础设施绿色升级</w:t>
            </w: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AF19A">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eastAsia="zh-CN"/>
              </w:rPr>
            </w:pPr>
            <w:r>
              <w:rPr>
                <w:rFonts w:hint="eastAsia" w:ascii="仿宋_GB2312" w:hAnsi="仿宋_GB2312" w:eastAsia="仿宋_GB2312" w:cs="仿宋_GB2312"/>
                <w:i w:val="0"/>
                <w:iCs w:val="0"/>
                <w:color w:val="000000"/>
                <w:sz w:val="22"/>
                <w:szCs w:val="22"/>
                <w:highlight w:val="none"/>
                <w:u w:val="none"/>
                <w:lang w:val="en-US" w:eastAsia="zh-CN"/>
              </w:rPr>
              <w:t>5.1 建筑节能与绿色建筑</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6ACCF">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sz w:val="22"/>
                <w:szCs w:val="22"/>
                <w:highlight w:val="none"/>
                <w:u w:val="none"/>
                <w:lang w:val="en-US" w:eastAsia="zh-CN"/>
              </w:rPr>
            </w:pPr>
            <w:r>
              <w:rPr>
                <w:rFonts w:hint="eastAsia" w:ascii="仿宋_GB2312" w:hAnsi="仿宋_GB2312" w:eastAsia="仿宋_GB2312" w:cs="仿宋_GB2312"/>
                <w:i w:val="0"/>
                <w:iCs w:val="0"/>
                <w:color w:val="000000"/>
                <w:sz w:val="22"/>
                <w:szCs w:val="22"/>
                <w:highlight w:val="none"/>
                <w:u w:val="none"/>
                <w:lang w:val="en-US" w:eastAsia="zh-CN"/>
              </w:rPr>
              <w:t>5.1.4 装配式建筑</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95B1">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eastAsia="zh-CN"/>
              </w:rPr>
            </w:pPr>
            <w:r>
              <w:rPr>
                <w:rFonts w:hint="eastAsia" w:ascii="仿宋_GB2312" w:hAnsi="仿宋_GB2312" w:eastAsia="仿宋_GB2312" w:cs="仿宋_GB2312"/>
                <w:i w:val="0"/>
                <w:iCs w:val="0"/>
                <w:color w:val="000000"/>
                <w:sz w:val="22"/>
                <w:szCs w:val="22"/>
                <w:highlight w:val="none"/>
                <w:u w:val="none"/>
                <w:lang w:val="en-US" w:eastAsia="zh-CN"/>
              </w:rPr>
              <w:t>12585</w:t>
            </w:r>
          </w:p>
        </w:tc>
      </w:tr>
      <w:tr w14:paraId="7B4D6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812" w:type="dxa"/>
            <w:vMerge w:val="continue"/>
            <w:tcBorders>
              <w:left w:val="single" w:color="000000" w:sz="4" w:space="0"/>
              <w:right w:val="single" w:color="000000" w:sz="4" w:space="0"/>
            </w:tcBorders>
            <w:shd w:val="clear" w:color="auto" w:fill="FFFFFF"/>
            <w:vAlign w:val="center"/>
          </w:tcPr>
          <w:p w14:paraId="695F71C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5EA68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5.3 环境基础设施</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3756B">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5.3.1 污水处理、再生利用及污泥处理</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CD7B">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10000</w:t>
            </w:r>
          </w:p>
        </w:tc>
      </w:tr>
      <w:tr w14:paraId="5E697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18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96C45C">
            <w:pPr>
              <w:spacing w:line="240" w:lineRule="auto"/>
              <w:jc w:val="center"/>
              <w:rPr>
                <w:rFonts w:hint="eastAsia" w:ascii="宋体" w:hAnsi="宋体" w:eastAsia="宋体" w:cs="宋体"/>
                <w:i w:val="0"/>
                <w:iCs w:val="0"/>
                <w:color w:val="000000"/>
                <w:sz w:val="22"/>
                <w:szCs w:val="22"/>
                <w:highlight w:val="none"/>
                <w:u w:val="none"/>
              </w:rPr>
            </w:pPr>
          </w:p>
        </w:tc>
        <w:tc>
          <w:tcPr>
            <w:tcW w:w="21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EC67D4">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5.6 园林绿化</w:t>
            </w:r>
          </w:p>
        </w:tc>
        <w:tc>
          <w:tcPr>
            <w:tcW w:w="33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6F167F">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5.6.4 道路绿化建设、养护管理</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669C">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sz w:val="22"/>
                <w:szCs w:val="22"/>
                <w:highlight w:val="none"/>
                <w:u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bidi="ar"/>
              </w:rPr>
              <w:t>990</w:t>
            </w:r>
          </w:p>
        </w:tc>
      </w:tr>
    </w:tbl>
    <w:p w14:paraId="2EA843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本行绿色信贷余额占比及绿色债券情况如下表：</w:t>
      </w:r>
    </w:p>
    <w:tbl>
      <w:tblPr>
        <w:tblStyle w:val="16"/>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45"/>
        <w:gridCol w:w="3693"/>
        <w:gridCol w:w="1584"/>
      </w:tblGrid>
      <w:tr w14:paraId="2D6F8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jc w:val="center"/>
        </w:trPr>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2525">
            <w:pPr>
              <w:pStyle w:val="21"/>
              <w:bidi w:val="0"/>
              <w:jc w:val="center"/>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指标名称</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0AA4D">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披露细项</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9C0E">
            <w:pPr>
              <w:pStyle w:val="21"/>
              <w:bidi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披露数据</w:t>
            </w:r>
          </w:p>
        </w:tc>
      </w:tr>
      <w:tr w14:paraId="0B860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5AC4">
            <w:pPr>
              <w:keepNext w:val="0"/>
              <w:keepLines w:val="0"/>
              <w:widowControl/>
              <w:suppressLineNumbers w:val="0"/>
              <w:spacing w:line="240" w:lineRule="auto"/>
              <w:jc w:val="center"/>
              <w:textAlignment w:val="center"/>
              <w:rPr>
                <w:rFonts w:hint="eastAsia" w:ascii="仿宋_GB2312" w:hAnsi="仿宋_GB2312" w:eastAsia="仿宋_GB2312" w:cs="仿宋_GB2312"/>
                <w:b w:val="0"/>
                <w:bCs w:val="0"/>
                <w:i w:val="0"/>
                <w:iCs w:val="0"/>
                <w:color w:val="000000"/>
                <w:sz w:val="24"/>
                <w:szCs w:val="24"/>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绿色信贷余额及占比</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F12F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绿色信贷余额（亿元）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591A8">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8.80</w:t>
            </w:r>
          </w:p>
        </w:tc>
      </w:tr>
      <w:tr w14:paraId="74B90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D89E2">
            <w:pPr>
              <w:spacing w:line="240" w:lineRule="auto"/>
              <w:jc w:val="center"/>
              <w:rPr>
                <w:rFonts w:hint="eastAsia" w:ascii="仿宋_GB2312" w:hAnsi="仿宋_GB2312" w:eastAsia="仿宋_GB2312" w:cs="仿宋_GB2312"/>
                <w:b w:val="0"/>
                <w:bCs w:val="0"/>
                <w:i w:val="0"/>
                <w:iCs w:val="0"/>
                <w:color w:val="000000"/>
                <w:sz w:val="24"/>
                <w:szCs w:val="24"/>
                <w:highlight w:val="none"/>
                <w:u w:val="none"/>
              </w:rPr>
            </w:pP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1F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各项贷款余额（亿元）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F4AB4">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413.83</w:t>
            </w:r>
          </w:p>
        </w:tc>
      </w:tr>
      <w:tr w14:paraId="00C90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29CBF">
            <w:pPr>
              <w:spacing w:line="240" w:lineRule="auto"/>
              <w:jc w:val="center"/>
              <w:rPr>
                <w:rFonts w:hint="eastAsia" w:ascii="仿宋_GB2312" w:hAnsi="仿宋_GB2312" w:eastAsia="仿宋_GB2312" w:cs="仿宋_GB2312"/>
                <w:b w:val="0"/>
                <w:bCs w:val="0"/>
                <w:i w:val="0"/>
                <w:iCs w:val="0"/>
                <w:color w:val="000000"/>
                <w:sz w:val="24"/>
                <w:szCs w:val="24"/>
                <w:highlight w:val="none"/>
                <w:u w:val="none"/>
              </w:rPr>
            </w:pP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845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绿色信贷占比（%）</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E0F53">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2.13</w:t>
            </w:r>
          </w:p>
        </w:tc>
      </w:tr>
      <w:tr w14:paraId="279CD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05D0">
            <w:pPr>
              <w:keepNext w:val="0"/>
              <w:keepLines w:val="0"/>
              <w:widowControl/>
              <w:suppressLineNumbers w:val="0"/>
              <w:spacing w:line="240" w:lineRule="auto"/>
              <w:jc w:val="center"/>
              <w:textAlignment w:val="center"/>
              <w:rPr>
                <w:rFonts w:hint="eastAsia" w:ascii="仿宋_GB2312" w:hAnsi="仿宋_GB2312" w:eastAsia="仿宋_GB2312" w:cs="仿宋_GB2312"/>
                <w:b w:val="0"/>
                <w:bCs w:val="0"/>
                <w:i w:val="0"/>
                <w:iCs w:val="0"/>
                <w:color w:val="000000"/>
                <w:sz w:val="24"/>
                <w:szCs w:val="24"/>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持有绿色债券余额</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F190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持有绿色债券余额（亿元）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83F9">
            <w:pPr>
              <w:keepNext w:val="0"/>
              <w:keepLines w:val="0"/>
              <w:widowControl/>
              <w:suppressLineNumbers w:val="0"/>
              <w:spacing w:line="240" w:lineRule="auto"/>
              <w:ind w:left="0" w:leftChars="0" w:firstLine="220" w:firstLineChars="100"/>
              <w:jc w:val="center"/>
              <w:textAlignment w:val="center"/>
              <w:rPr>
                <w:rFonts w:hint="default"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 xml:space="preserve"> 0.3</w:t>
            </w:r>
          </w:p>
        </w:tc>
      </w:tr>
    </w:tbl>
    <w:p w14:paraId="4A89CC9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p>
    <w:p w14:paraId="42D131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default" w:ascii="仿宋_GB2312" w:hAnsi="仿宋_GB2312" w:eastAsia="仿宋_GB2312" w:cs="仿宋_GB2312"/>
          <w:color w:val="000000" w:themeColor="text1"/>
          <w:highlight w:val="none"/>
          <w:lang w:val="en-US" w:eastAsia="zh-CN"/>
          <w14:textFill>
            <w14:solidFill>
              <w14:schemeClr w14:val="tx1"/>
            </w14:solidFill>
          </w14:textFill>
        </w:rPr>
        <w:t>截至报告期末，本行</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绿色项目贷款余额29560万元</w:t>
      </w:r>
      <w:r>
        <w:rPr>
          <w:rFonts w:hint="default" w:ascii="仿宋_GB2312" w:hAnsi="仿宋_GB2312" w:eastAsia="仿宋_GB2312" w:cs="仿宋_GB2312"/>
          <w:color w:val="000000" w:themeColor="text1"/>
          <w:highlight w:val="none"/>
          <w:lang w:val="en-US" w:eastAsia="zh-CN"/>
          <w14:textFill>
            <w14:solidFill>
              <w14:schemeClr w14:val="tx1"/>
            </w14:solidFill>
          </w14:textFill>
        </w:rPr>
        <w:t>。本行</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绿色投融资活动产生的环境效益</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如下表</w:t>
      </w:r>
      <w:r>
        <w:rPr>
          <w:rStyle w:val="19"/>
          <w:rFonts w:hint="default" w:ascii="仿宋_GB2312" w:hAnsi="仿宋_GB2312" w:eastAsia="仿宋_GB2312" w:cs="仿宋_GB2312"/>
          <w:color w:val="000000" w:themeColor="text1"/>
          <w:highlight w:val="none"/>
          <w:lang w:val="en-US" w:eastAsia="zh-CN"/>
          <w14:textFill>
            <w14:solidFill>
              <w14:schemeClr w14:val="tx1"/>
            </w14:solidFill>
          </w14:textFill>
        </w:rPr>
        <w:footnoteReference w:id="0"/>
      </w:r>
      <w:r>
        <w:rPr>
          <w:rFonts w:hint="eastAsia" w:ascii="仿宋_GB2312" w:hAnsi="仿宋_GB2312" w:eastAsia="仿宋_GB2312" w:cs="仿宋_GB2312"/>
          <w:color w:val="000000" w:themeColor="text1"/>
          <w:highlight w:val="none"/>
          <w:lang w:val="en-US" w:eastAsia="zh-CN"/>
          <w14:textFill>
            <w14:solidFill>
              <w14:schemeClr w14:val="tx1"/>
            </w14:solidFill>
          </w14:textFill>
        </w:rPr>
        <w:t>：</w:t>
      </w:r>
    </w:p>
    <w:tbl>
      <w:tblPr>
        <w:tblStyle w:val="16"/>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58"/>
        <w:gridCol w:w="3709"/>
        <w:gridCol w:w="1552"/>
      </w:tblGrid>
      <w:tr w14:paraId="672B4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jc w:val="center"/>
        </w:trPr>
        <w:tc>
          <w:tcPr>
            <w:tcW w:w="3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DD623">
            <w:pPr>
              <w:pStyle w:val="22"/>
              <w:numPr>
                <w:ilvl w:val="-1"/>
                <w:numId w:val="0"/>
              </w:numPr>
              <w:bidi w:val="0"/>
              <w:jc w:val="center"/>
              <w:rPr>
                <w:rFonts w:hint="eastAsia" w:ascii="黑体" w:hAnsi="黑体" w:eastAsia="黑体" w:cs="黑体"/>
                <w:b w:val="0"/>
                <w:bCs/>
                <w:color w:val="000000" w:themeColor="text1"/>
                <w:sz w:val="24"/>
                <w:szCs w:val="24"/>
                <w:highlight w:val="none"/>
                <w:lang w:val="en-US" w:eastAsia="zh-CN"/>
                <w14:textFill>
                  <w14:solidFill>
                    <w14:schemeClr w14:val="tx1"/>
                  </w14:solidFill>
                </w14:textFill>
              </w:rPr>
            </w:pPr>
            <w:r>
              <w:rPr>
                <w:rFonts w:hint="default" w:ascii="黑体" w:hAnsi="黑体" w:eastAsia="黑体" w:cs="黑体"/>
                <w:b w:val="0"/>
                <w:bCs/>
                <w:color w:val="000000" w:themeColor="text1"/>
                <w:sz w:val="24"/>
                <w:szCs w:val="24"/>
                <w:highlight w:val="none"/>
                <w14:textFill>
                  <w14:solidFill>
                    <w14:schemeClr w14:val="tx1"/>
                  </w14:solidFill>
                </w14:textFill>
              </w:rPr>
              <w:t>指标名称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A54A">
            <w:pPr>
              <w:pStyle w:val="22"/>
              <w:numPr>
                <w:ilvl w:val="-1"/>
                <w:numId w:val="0"/>
              </w:numPr>
              <w:bidi w:val="0"/>
              <w:jc w:val="center"/>
              <w:rPr>
                <w:rFonts w:hint="default" w:ascii="黑体" w:hAnsi="黑体" w:eastAsia="黑体" w:cs="黑体"/>
                <w:b w:val="0"/>
                <w:bCs/>
                <w:color w:val="000000" w:themeColor="text1"/>
                <w:sz w:val="24"/>
                <w:szCs w:val="24"/>
                <w:highlight w:val="none"/>
                <w:lang w:val="en-US" w:eastAsia="zh-CN"/>
                <w14:textFill>
                  <w14:solidFill>
                    <w14:schemeClr w14:val="tx1"/>
                  </w14:solidFill>
                </w14:textFill>
              </w:rPr>
            </w:pPr>
            <w:r>
              <w:rPr>
                <w:rFonts w:hint="eastAsia" w:ascii="黑体" w:hAnsi="黑体" w:eastAsia="黑体" w:cs="黑体"/>
                <w:b w:val="0"/>
                <w:bCs w:val="0"/>
                <w:sz w:val="24"/>
                <w:szCs w:val="24"/>
                <w:highlight w:val="none"/>
                <w:shd w:val="clear" w:color="auto" w:fill="auto"/>
                <w:lang w:val="en-US" w:eastAsia="zh-CN"/>
              </w:rPr>
              <w:t>披露细项</w:t>
            </w: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5CC53">
            <w:pPr>
              <w:pStyle w:val="22"/>
              <w:numPr>
                <w:ilvl w:val="-1"/>
                <w:numId w:val="0"/>
              </w:numPr>
              <w:bidi w:val="0"/>
              <w:ind w:left="0" w:leftChars="0" w:firstLine="0" w:firstLineChars="0"/>
              <w:jc w:val="center"/>
              <w:rPr>
                <w:rFonts w:hint="default" w:ascii="黑体" w:hAnsi="黑体" w:eastAsia="黑体" w:cs="黑体"/>
                <w:b w:val="0"/>
                <w:bCs/>
                <w:color w:val="000000" w:themeColor="text1"/>
                <w:sz w:val="24"/>
                <w:szCs w:val="24"/>
                <w:highlight w:val="none"/>
                <w:lang w:val="en-US" w:eastAsia="zh-CN"/>
                <w14:textFill>
                  <w14:solidFill>
                    <w14:schemeClr w14:val="tx1"/>
                  </w14:solidFill>
                </w14:textFill>
              </w:rPr>
            </w:pPr>
            <w:r>
              <w:rPr>
                <w:rFonts w:hint="eastAsia" w:ascii="黑体" w:hAnsi="黑体" w:eastAsia="黑体" w:cs="黑体"/>
                <w:b w:val="0"/>
                <w:bCs/>
                <w:color w:val="000000" w:themeColor="text1"/>
                <w:sz w:val="24"/>
                <w:szCs w:val="24"/>
                <w:highlight w:val="none"/>
                <w:lang w:val="en-US" w:eastAsia="zh-CN"/>
                <w14:textFill>
                  <w14:solidFill>
                    <w14:schemeClr w14:val="tx1"/>
                  </w14:solidFill>
                </w14:textFill>
              </w:rPr>
              <w:t>披露数据</w:t>
            </w:r>
          </w:p>
        </w:tc>
      </w:tr>
      <w:tr w14:paraId="06C79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58" w:type="dxa"/>
            <w:vMerge w:val="restart"/>
            <w:tcBorders>
              <w:top w:val="single" w:color="000000" w:sz="4" w:space="0"/>
              <w:left w:val="single" w:color="000000" w:sz="4" w:space="0"/>
              <w:right w:val="single" w:color="000000" w:sz="4" w:space="0"/>
            </w:tcBorders>
            <w:shd w:val="clear" w:color="auto" w:fill="auto"/>
            <w:noWrap/>
            <w:vAlign w:val="center"/>
          </w:tcPr>
          <w:p w14:paraId="1F8EBE5F">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绿色项目贷款</w:t>
            </w:r>
            <w:r>
              <w:rPr>
                <w:rFonts w:hint="eastAsia" w:ascii="仿宋_GB2312" w:hAnsi="仿宋_GB2312" w:eastAsia="仿宋_GB2312" w:cs="仿宋_GB2312"/>
                <w:b w:val="0"/>
                <w:bCs w:val="0"/>
                <w:i w:val="0"/>
                <w:iCs w:val="0"/>
                <w:color w:val="000000"/>
                <w:kern w:val="0"/>
                <w:sz w:val="24"/>
                <w:szCs w:val="24"/>
                <w:highlight w:val="none"/>
                <w:u w:val="none"/>
                <w:shd w:val="clear" w:color="auto" w:fill="auto"/>
                <w:lang w:val="en-US" w:eastAsia="zh-CN" w:bidi="ar"/>
              </w:rPr>
              <w:t>折合减排情况</w:t>
            </w:r>
          </w:p>
        </w:tc>
        <w:tc>
          <w:tcPr>
            <w:tcW w:w="3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5957">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b w:val="0"/>
                <w:bCs/>
                <w:color w:val="000000" w:themeColor="text1"/>
                <w:sz w:val="24"/>
                <w:szCs w:val="24"/>
                <w:highlight w:val="none"/>
                <w14:textFill>
                  <w14:solidFill>
                    <w14:schemeClr w14:val="tx1"/>
                  </w14:solidFill>
                </w14:textFill>
              </w:rPr>
              <w:t>折合减排标准煤</w:t>
            </w:r>
            <w:r>
              <w:rPr>
                <w:rFonts w:hint="eastAsia" w:ascii="仿宋_GB2312" w:hAnsi="仿宋_GB2312" w:eastAsia="仿宋_GB2312" w:cs="仿宋_GB2312"/>
                <w:b w:val="0"/>
                <w:bCs/>
                <w:color w:val="000000" w:themeColor="text1"/>
                <w:sz w:val="24"/>
                <w:szCs w:val="24"/>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24"/>
                <w:szCs w:val="24"/>
                <w:highlight w:val="none"/>
                <w:lang w:val="en-US" w:eastAsia="zh-CN"/>
                <w14:textFill>
                  <w14:solidFill>
                    <w14:schemeClr w14:val="tx1"/>
                  </w14:solidFill>
                </w14:textFill>
              </w:rPr>
              <w:t>吨</w:t>
            </w:r>
            <w:r>
              <w:rPr>
                <w:rFonts w:hint="eastAsia" w:ascii="仿宋_GB2312" w:hAnsi="仿宋_GB2312" w:eastAsia="仿宋_GB2312" w:cs="仿宋_GB2312"/>
                <w:b w:val="0"/>
                <w:bCs/>
                <w:color w:val="000000" w:themeColor="text1"/>
                <w:sz w:val="24"/>
                <w:szCs w:val="24"/>
                <w:highlight w:val="none"/>
                <w:lang w:eastAsia="zh-CN"/>
                <w14:textFill>
                  <w14:solidFill>
                    <w14:schemeClr w14:val="tx1"/>
                  </w14:solidFill>
                </w14:textFill>
              </w:rPr>
              <w:t>）</w:t>
            </w: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A33E0">
            <w:pPr>
              <w:keepNext w:val="0"/>
              <w:keepLines w:val="0"/>
              <w:widowControl/>
              <w:suppressLineNumbers w:val="0"/>
              <w:ind w:firstLine="0" w:firstLineChars="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sz w:val="24"/>
                <w:szCs w:val="24"/>
                <w:highlight w:val="none"/>
                <w:u w:val="none"/>
                <w:lang w:val="en-US" w:eastAsia="zh-CN"/>
              </w:rPr>
              <w:t>34.41</w:t>
            </w:r>
          </w:p>
        </w:tc>
      </w:tr>
      <w:tr w14:paraId="73CFF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258" w:type="dxa"/>
            <w:vMerge w:val="continue"/>
            <w:tcBorders>
              <w:left w:val="single" w:color="000000" w:sz="4" w:space="0"/>
              <w:bottom w:val="single" w:color="000000" w:sz="4" w:space="0"/>
              <w:right w:val="single" w:color="000000" w:sz="4" w:space="0"/>
            </w:tcBorders>
            <w:shd w:val="clear" w:color="auto" w:fill="auto"/>
            <w:noWrap/>
            <w:vAlign w:val="center"/>
          </w:tcPr>
          <w:p w14:paraId="4A06A427">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rPr>
            </w:pPr>
          </w:p>
        </w:tc>
        <w:tc>
          <w:tcPr>
            <w:tcW w:w="3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029B">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b w:val="0"/>
                <w:bCs/>
                <w:color w:val="000000" w:themeColor="text1"/>
                <w:sz w:val="24"/>
                <w:szCs w:val="24"/>
                <w:highlight w:val="none"/>
                <w14:textFill>
                  <w14:solidFill>
                    <w14:schemeClr w14:val="tx1"/>
                  </w14:solidFill>
                </w14:textFill>
              </w:rPr>
              <w:t>折合减排二氧化碳当量</w:t>
            </w:r>
            <w:r>
              <w:rPr>
                <w:rFonts w:hint="eastAsia" w:ascii="仿宋_GB2312" w:hAnsi="仿宋_GB2312" w:eastAsia="仿宋_GB2312" w:cs="仿宋_GB2312"/>
                <w:b w:val="0"/>
                <w:bCs/>
                <w:color w:val="000000" w:themeColor="text1"/>
                <w:sz w:val="24"/>
                <w:szCs w:val="24"/>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24"/>
                <w:szCs w:val="24"/>
                <w:highlight w:val="none"/>
                <w:lang w:val="en-US" w:eastAsia="zh-CN"/>
                <w14:textFill>
                  <w14:solidFill>
                    <w14:schemeClr w14:val="tx1"/>
                  </w14:solidFill>
                </w14:textFill>
              </w:rPr>
              <w:t>吨</w:t>
            </w:r>
            <w:r>
              <w:rPr>
                <w:rFonts w:hint="eastAsia" w:ascii="仿宋_GB2312" w:hAnsi="仿宋_GB2312" w:eastAsia="仿宋_GB2312" w:cs="仿宋_GB2312"/>
                <w:b w:val="0"/>
                <w:bCs/>
                <w:color w:val="000000" w:themeColor="text1"/>
                <w:sz w:val="24"/>
                <w:szCs w:val="24"/>
                <w:highlight w:val="none"/>
                <w:lang w:eastAsia="zh-CN"/>
                <w14:textFill>
                  <w14:solidFill>
                    <w14:schemeClr w14:val="tx1"/>
                  </w14:solidFill>
                </w14:textFill>
              </w:rPr>
              <w:t>）</w:t>
            </w: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4DFF">
            <w:pPr>
              <w:keepNext w:val="0"/>
              <w:keepLines w:val="0"/>
              <w:widowControl/>
              <w:suppressLineNumbers w:val="0"/>
              <w:ind w:firstLine="0" w:firstLineChars="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sz w:val="24"/>
                <w:szCs w:val="24"/>
                <w:highlight w:val="none"/>
                <w:u w:val="none"/>
                <w:lang w:val="en-US" w:eastAsia="zh-CN"/>
              </w:rPr>
              <w:t>76.62</w:t>
            </w:r>
          </w:p>
        </w:tc>
      </w:tr>
    </w:tbl>
    <w:p w14:paraId="0B17ECBB">
      <w:pPr>
        <w:pStyle w:val="13"/>
        <w:snapToGrid w:val="0"/>
        <w:rPr>
          <w:highlight w:val="none"/>
        </w:rPr>
      </w:pPr>
    </w:p>
    <w:p w14:paraId="1F4883EA">
      <w:pPr>
        <w:pStyle w:val="13"/>
        <w:snapToGrid w:val="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highlight w:val="none"/>
        </w:rPr>
        <w:t xml:space="preserve"> </w:t>
      </w:r>
      <w:r>
        <w:rPr>
          <w:rFonts w:hint="eastAsia"/>
          <w:highlight w:val="none"/>
        </w:rPr>
        <w:t>考虑数据可得性和可计算性。部分绿色项目环境效益未列入其中</w:t>
      </w:r>
    </w:p>
    <w:p w14:paraId="66171F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2.投融资活动碳排放</w:t>
      </w:r>
    </w:p>
    <w:tbl>
      <w:tblPr>
        <w:tblStyle w:val="16"/>
        <w:tblW w:w="497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84"/>
        <w:gridCol w:w="4476"/>
        <w:gridCol w:w="1518"/>
      </w:tblGrid>
      <w:tr w14:paraId="2AFCF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F8DD">
            <w:pPr>
              <w:pStyle w:val="21"/>
              <w:bidi w:val="0"/>
              <w:jc w:val="center"/>
              <w:rPr>
                <w:rFonts w:hint="default" w:ascii="黑体" w:hAnsi="黑体" w:eastAsia="黑体" w:cs="黑体"/>
                <w:b w:val="0"/>
                <w:bCs w:val="0"/>
                <w:sz w:val="24"/>
                <w:szCs w:val="24"/>
                <w:highlight w:val="none"/>
                <w:shd w:val="clear" w:color="auto" w:fill="auto"/>
                <w:lang w:val="en-US" w:eastAsia="zh-CN"/>
              </w:rPr>
            </w:pPr>
            <w:r>
              <w:rPr>
                <w:rFonts w:hint="eastAsia" w:ascii="黑体" w:hAnsi="黑体" w:eastAsia="黑体" w:cs="黑体"/>
                <w:b w:val="0"/>
                <w:bCs w:val="0"/>
                <w:sz w:val="24"/>
                <w:szCs w:val="24"/>
                <w:highlight w:val="none"/>
                <w:shd w:val="clear" w:color="auto" w:fill="auto"/>
                <w:lang w:val="en-US" w:eastAsia="zh-CN"/>
              </w:rPr>
              <w:t>指标名称</w:t>
            </w:r>
          </w:p>
        </w:tc>
        <w:tc>
          <w:tcPr>
            <w:tcW w:w="2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3B615">
            <w:pPr>
              <w:pStyle w:val="21"/>
              <w:bidi w:val="0"/>
              <w:jc w:val="center"/>
              <w:rPr>
                <w:rFonts w:hint="eastAsia" w:ascii="黑体" w:hAnsi="黑体" w:eastAsia="黑体" w:cs="黑体"/>
                <w:b w:val="0"/>
                <w:bCs w:val="0"/>
                <w:sz w:val="24"/>
                <w:szCs w:val="24"/>
                <w:highlight w:val="none"/>
                <w:shd w:val="clear" w:color="auto" w:fill="auto"/>
                <w:lang w:val="en-US" w:eastAsia="zh-CN"/>
              </w:rPr>
            </w:pPr>
            <w:r>
              <w:rPr>
                <w:rFonts w:hint="eastAsia" w:ascii="黑体" w:hAnsi="黑体" w:eastAsia="黑体" w:cs="黑体"/>
                <w:b w:val="0"/>
                <w:bCs w:val="0"/>
                <w:sz w:val="24"/>
                <w:szCs w:val="24"/>
                <w:highlight w:val="none"/>
                <w:shd w:val="clear" w:color="auto" w:fill="auto"/>
                <w:lang w:val="en-US" w:eastAsia="zh-CN"/>
              </w:rPr>
              <w:t>披露细项</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B110">
            <w:pPr>
              <w:pStyle w:val="21"/>
              <w:bidi w:val="0"/>
              <w:ind w:firstLine="0" w:firstLineChars="0"/>
              <w:jc w:val="center"/>
              <w:rPr>
                <w:rFonts w:hint="default" w:ascii="黑体" w:hAnsi="黑体" w:eastAsia="黑体" w:cs="黑体"/>
                <w:b w:val="0"/>
                <w:bCs w:val="0"/>
                <w:sz w:val="24"/>
                <w:szCs w:val="24"/>
                <w:highlight w:val="none"/>
                <w:shd w:val="clear" w:color="auto" w:fill="auto"/>
                <w:lang w:val="en-US" w:eastAsia="zh-CN"/>
              </w:rPr>
            </w:pPr>
            <w:r>
              <w:rPr>
                <w:rFonts w:hint="eastAsia" w:ascii="黑体" w:hAnsi="黑体" w:eastAsia="黑体" w:cs="黑体"/>
                <w:b w:val="0"/>
                <w:bCs w:val="0"/>
                <w:sz w:val="24"/>
                <w:szCs w:val="24"/>
                <w:highlight w:val="none"/>
                <w:lang w:val="en-US" w:eastAsia="zh-CN"/>
              </w:rPr>
              <w:t>披露数据</w:t>
            </w:r>
          </w:p>
        </w:tc>
      </w:tr>
      <w:tr w14:paraId="49DC1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146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7B0D5">
            <w:pPr>
              <w:keepNext w:val="0"/>
              <w:keepLines w:val="0"/>
              <w:widowControl/>
              <w:suppressLineNumbers w:val="0"/>
              <w:ind w:firstLine="0" w:firstLineChars="0"/>
              <w:jc w:val="center"/>
              <w:textAlignment w:val="center"/>
              <w:rPr>
                <w:rFonts w:hint="eastAsia" w:ascii="仿宋_GB2312" w:hAnsi="仿宋_GB2312" w:eastAsia="仿宋_GB2312" w:cs="仿宋_GB2312"/>
                <w:b w:val="0"/>
                <w:bCs w:val="0"/>
                <w:i w:val="0"/>
                <w:iCs w:val="0"/>
                <w:color w:val="000000"/>
                <w:sz w:val="24"/>
                <w:szCs w:val="24"/>
                <w:highlight w:val="none"/>
                <w:u w:val="none"/>
                <w:shd w:val="clear" w:color="auto" w:fill="auto"/>
              </w:rPr>
            </w:pPr>
            <w:r>
              <w:rPr>
                <w:rFonts w:hint="eastAsia" w:ascii="仿宋_GB2312" w:hAnsi="仿宋_GB2312" w:eastAsia="仿宋_GB2312" w:cs="仿宋_GB2312"/>
                <w:b w:val="0"/>
                <w:bCs w:val="0"/>
                <w:i w:val="0"/>
                <w:iCs w:val="0"/>
                <w:color w:val="000000"/>
                <w:sz w:val="24"/>
                <w:szCs w:val="24"/>
                <w:highlight w:val="none"/>
                <w:u w:val="none"/>
                <w:shd w:val="clear" w:color="auto" w:fill="auto"/>
                <w:lang w:val="en-US" w:eastAsia="zh-CN"/>
              </w:rPr>
              <w:t>投融资碳排放情况</w:t>
            </w:r>
          </w:p>
        </w:tc>
        <w:tc>
          <w:tcPr>
            <w:tcW w:w="2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AAE4">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shd w:val="clear" w:color="auto" w:fill="auto"/>
              </w:rPr>
            </w:pPr>
            <w:r>
              <w:rPr>
                <w:rFonts w:hint="eastAsia" w:ascii="仿宋_GB2312" w:hAnsi="仿宋_GB2312" w:eastAsia="仿宋_GB2312" w:cs="仿宋_GB2312"/>
                <w:i w:val="0"/>
                <w:iCs w:val="0"/>
                <w:color w:val="000000"/>
                <w:sz w:val="24"/>
                <w:szCs w:val="24"/>
                <w:highlight w:val="none"/>
                <w:u w:val="none"/>
                <w:shd w:val="clear" w:color="auto" w:fill="auto"/>
                <w:lang w:val="en-US" w:eastAsia="zh-CN"/>
              </w:rPr>
              <w:t>项目融资业务碳排放量（</w:t>
            </w:r>
            <m:oMath>
              <m:sSub>
                <m:sSubPr>
                  <m:ctrlPr>
                    <w:rPr>
                      <w:rFonts w:hint="eastAsia" w:ascii="Cambria Math" w:hAnsi="Cambria Math" w:eastAsia="仿宋_GB2312" w:cs="仿宋_GB2312"/>
                      <w:i w:val="0"/>
                      <w:iCs w:val="0"/>
                      <w:color w:val="000000"/>
                      <w:sz w:val="24"/>
                      <w:szCs w:val="24"/>
                      <w:highlight w:val="none"/>
                      <w:u w:val="none"/>
                      <w:shd w:val="clear" w:color="auto" w:fill="auto"/>
                      <w:lang w:val="en-US" w:eastAsia="zh-CN"/>
                    </w:rPr>
                  </m:ctrlPr>
                </m:sSubPr>
                <m:e>
                  <m:r>
                    <m:rPr>
                      <m:sty m:val="p"/>
                    </m:rPr>
                    <w:rPr>
                      <w:rFonts w:hint="eastAsia" w:ascii="Cambria Math" w:hAnsi="Cambria Math" w:eastAsia="仿宋_GB2312" w:cs="仿宋_GB2312"/>
                      <w:color w:val="000000"/>
                      <w:sz w:val="24"/>
                      <w:szCs w:val="24"/>
                      <w:highlight w:val="none"/>
                      <w:u w:val="none"/>
                      <w:shd w:val="clear" w:color="auto" w:fill="auto"/>
                      <w:lang w:val="en-US" w:eastAsia="zh-CN"/>
                    </w:rPr>
                    <m:t>tCO</m:t>
                  </m:r>
                  <m:ctrlPr>
                    <w:rPr>
                      <w:rFonts w:hint="eastAsia" w:ascii="Cambria Math" w:hAnsi="Cambria Math" w:eastAsia="仿宋_GB2312" w:cs="仿宋_GB2312"/>
                      <w:i w:val="0"/>
                      <w:iCs w:val="0"/>
                      <w:color w:val="000000"/>
                      <w:sz w:val="24"/>
                      <w:szCs w:val="24"/>
                      <w:highlight w:val="none"/>
                      <w:u w:val="none"/>
                      <w:shd w:val="clear" w:color="auto" w:fill="auto"/>
                      <w:lang w:val="en-US" w:eastAsia="zh-CN"/>
                    </w:rPr>
                  </m:ctrlPr>
                </m:e>
                <m:sub>
                  <m:r>
                    <m:rPr>
                      <m:sty m:val="p"/>
                    </m:rPr>
                    <w:rPr>
                      <w:rFonts w:hint="eastAsia" w:ascii="Cambria Math" w:hAnsi="Cambria Math" w:eastAsia="仿宋_GB2312" w:cs="仿宋_GB2312"/>
                      <w:color w:val="000000"/>
                      <w:sz w:val="24"/>
                      <w:szCs w:val="24"/>
                      <w:highlight w:val="none"/>
                      <w:u w:val="none"/>
                      <w:shd w:val="clear" w:color="auto" w:fill="auto"/>
                      <w:lang w:val="en-US" w:eastAsia="zh-CN"/>
                    </w:rPr>
                    <m:t>2</m:t>
                  </m:r>
                  <m:ctrlPr>
                    <w:rPr>
                      <w:rFonts w:hint="eastAsia" w:ascii="Cambria Math" w:hAnsi="Cambria Math" w:eastAsia="仿宋_GB2312" w:cs="仿宋_GB2312"/>
                      <w:i w:val="0"/>
                      <w:iCs w:val="0"/>
                      <w:color w:val="000000"/>
                      <w:sz w:val="24"/>
                      <w:szCs w:val="24"/>
                      <w:highlight w:val="none"/>
                      <w:u w:val="none"/>
                      <w:shd w:val="clear" w:color="auto" w:fill="auto"/>
                      <w:lang w:val="en-US" w:eastAsia="zh-CN"/>
                    </w:rPr>
                  </m:ctrlPr>
                </m:sub>
              </m:sSub>
              <m:r>
                <m:rPr>
                  <m:sty m:val="p"/>
                </m:rPr>
                <w:rPr>
                  <w:rFonts w:hint="eastAsia" w:ascii="Cambria Math" w:hAnsi="Cambria Math" w:eastAsia="仿宋_GB2312" w:cs="仿宋_GB2312"/>
                  <w:color w:val="000000"/>
                  <w:sz w:val="24"/>
                  <w:szCs w:val="24"/>
                  <w:highlight w:val="none"/>
                  <w:u w:val="none"/>
                  <w:shd w:val="clear" w:color="auto" w:fill="auto"/>
                  <w:lang w:val="en-US" w:eastAsia="zh-CN"/>
                </w:rPr>
                <m:t>e</m:t>
              </m:r>
            </m:oMath>
            <w:r>
              <w:rPr>
                <w:rFonts w:hint="eastAsia" w:ascii="仿宋_GB2312" w:hAnsi="仿宋_GB2312" w:eastAsia="仿宋_GB2312" w:cs="仿宋_GB2312"/>
                <w:i w:val="0"/>
                <w:iCs w:val="0"/>
                <w:color w:val="000000"/>
                <w:sz w:val="24"/>
                <w:szCs w:val="24"/>
                <w:highlight w:val="none"/>
                <w:u w:val="none"/>
                <w:shd w:val="clear" w:color="auto" w:fill="auto"/>
                <w:lang w:val="en-US" w:eastAsia="zh-CN"/>
              </w:rPr>
              <w: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B8BCD">
            <w:pPr>
              <w:keepNext w:val="0"/>
              <w:keepLines w:val="0"/>
              <w:widowControl/>
              <w:suppressLineNumbers w:val="0"/>
              <w:ind w:firstLine="0" w:firstLineChars="0"/>
              <w:jc w:val="center"/>
              <w:textAlignment w:val="center"/>
              <w:rPr>
                <w:rFonts w:hint="default" w:ascii="仿宋_GB2312" w:hAnsi="仿宋_GB2312" w:eastAsia="仿宋_GB2312" w:cs="仿宋_GB2312"/>
                <w:i w:val="0"/>
                <w:iCs w:val="0"/>
                <w:color w:val="000000"/>
                <w:sz w:val="24"/>
                <w:szCs w:val="24"/>
                <w:highlight w:val="none"/>
                <w:u w:val="none"/>
                <w:shd w:val="clear" w:color="auto" w:fill="auto"/>
                <w:lang w:val="en-US" w:eastAsia="zh-CN"/>
              </w:rPr>
            </w:pPr>
            <w:r>
              <w:rPr>
                <w:rFonts w:hint="eastAsia" w:ascii="仿宋_GB2312" w:hAnsi="仿宋_GB2312" w:eastAsia="仿宋_GB2312" w:cs="仿宋_GB2312"/>
                <w:i w:val="0"/>
                <w:iCs w:val="0"/>
                <w:color w:val="000000"/>
                <w:sz w:val="24"/>
                <w:szCs w:val="24"/>
                <w:highlight w:val="none"/>
                <w:u w:val="none"/>
                <w:shd w:val="clear" w:color="auto" w:fill="auto"/>
                <w:lang w:val="en-US" w:eastAsia="zh-CN"/>
              </w:rPr>
              <w:t>1622.8</w:t>
            </w:r>
          </w:p>
        </w:tc>
      </w:tr>
      <w:tr w14:paraId="689DB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146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E348">
            <w:pPr>
              <w:widowControl/>
              <w:ind w:firstLine="0" w:firstLineChars="0"/>
              <w:jc w:val="center"/>
              <w:rPr>
                <w:rFonts w:hint="eastAsia" w:ascii="仿宋_GB2312" w:hAnsi="仿宋_GB2312" w:eastAsia="仿宋_GB2312" w:cs="仿宋_GB2312"/>
                <w:b w:val="0"/>
                <w:bCs w:val="0"/>
                <w:i w:val="0"/>
                <w:iCs w:val="0"/>
                <w:color w:val="000000"/>
                <w:sz w:val="24"/>
                <w:szCs w:val="24"/>
                <w:highlight w:val="none"/>
                <w:u w:val="none"/>
                <w:shd w:val="clear" w:color="auto" w:fill="auto"/>
              </w:rPr>
            </w:pPr>
          </w:p>
        </w:tc>
        <w:tc>
          <w:tcPr>
            <w:tcW w:w="2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6AD8">
            <w:pPr>
              <w:keepNext w:val="0"/>
              <w:keepLines w:val="0"/>
              <w:widowControl/>
              <w:suppressLineNumbers w:val="0"/>
              <w:ind w:firstLine="0" w:firstLineChars="0"/>
              <w:jc w:val="center"/>
              <w:textAlignment w:val="center"/>
              <w:rPr>
                <w:rFonts w:hint="eastAsia" w:ascii="仿宋_GB2312" w:hAnsi="仿宋_GB2312" w:eastAsia="仿宋_GB2312" w:cs="仿宋_GB2312"/>
                <w:i w:val="0"/>
                <w:iCs w:val="0"/>
                <w:color w:val="000000"/>
                <w:sz w:val="24"/>
                <w:szCs w:val="24"/>
                <w:highlight w:val="none"/>
                <w:u w:val="none"/>
                <w:shd w:val="clear" w:color="auto" w:fill="auto"/>
              </w:rPr>
            </w:pPr>
            <w:r>
              <w:rPr>
                <w:rFonts w:hint="eastAsia" w:ascii="仿宋_GB2312" w:hAnsi="仿宋_GB2312" w:eastAsia="仿宋_GB2312" w:cs="仿宋_GB2312"/>
                <w:i w:val="0"/>
                <w:iCs w:val="0"/>
                <w:color w:val="000000"/>
                <w:sz w:val="24"/>
                <w:szCs w:val="24"/>
                <w:highlight w:val="none"/>
                <w:u w:val="none"/>
                <w:shd w:val="clear" w:color="auto" w:fill="auto"/>
                <w:lang w:val="en-US" w:eastAsia="zh-CN"/>
              </w:rPr>
              <w:t>非项目融资业务碳排放量（</w:t>
            </w:r>
            <m:oMath>
              <m:sSub>
                <m:sSubPr>
                  <m:ctrlPr>
                    <w:rPr>
                      <w:rFonts w:hint="default" w:ascii="Cambria Math" w:hAnsi="Cambria Math" w:cs="Times New Roman"/>
                      <w:kern w:val="2"/>
                      <w:sz w:val="24"/>
                      <w:szCs w:val="24"/>
                      <w:highlight w:val="none"/>
                      <w:shd w:val="clear" w:color="auto" w:fill="auto"/>
                      <w:lang w:val="en-US" w:eastAsia="zh-CN" w:bidi="ar-SA"/>
                    </w:rPr>
                  </m:ctrlPr>
                </m:sSubPr>
                <m:e>
                  <m:r>
                    <m:rPr>
                      <m:sty m:val="p"/>
                    </m:rPr>
                    <w:rPr>
                      <w:rFonts w:hint="default" w:ascii="Cambria Math" w:hAnsi="Cambria Math" w:cs="Times New Roman"/>
                      <w:kern w:val="2"/>
                      <w:sz w:val="24"/>
                      <w:szCs w:val="24"/>
                      <w:highlight w:val="none"/>
                      <w:shd w:val="clear" w:color="auto" w:fill="auto"/>
                      <w:lang w:val="en-US" w:eastAsia="zh-CN" w:bidi="ar-SA"/>
                    </w:rPr>
                    <m:t>tCO</m:t>
                  </m:r>
                  <m:ctrlPr>
                    <w:rPr>
                      <w:rFonts w:hint="default" w:ascii="Cambria Math" w:hAnsi="Cambria Math" w:cs="Times New Roman"/>
                      <w:kern w:val="2"/>
                      <w:sz w:val="24"/>
                      <w:szCs w:val="24"/>
                      <w:highlight w:val="none"/>
                      <w:shd w:val="clear" w:color="auto" w:fill="auto"/>
                      <w:lang w:val="en-US" w:eastAsia="zh-CN" w:bidi="ar-SA"/>
                    </w:rPr>
                  </m:ctrlPr>
                </m:e>
                <m:sub>
                  <m:r>
                    <m:rPr>
                      <m:sty m:val="p"/>
                    </m:rPr>
                    <w:rPr>
                      <w:rFonts w:hint="default" w:ascii="Cambria Math" w:hAnsi="Cambria Math" w:cs="Times New Roman"/>
                      <w:kern w:val="2"/>
                      <w:sz w:val="24"/>
                      <w:szCs w:val="24"/>
                      <w:highlight w:val="none"/>
                      <w:shd w:val="clear" w:color="auto" w:fill="auto"/>
                      <w:vertAlign w:val="subscript"/>
                      <w:lang w:val="en-US" w:eastAsia="zh-CN" w:bidi="ar-SA"/>
                    </w:rPr>
                    <m:t>2</m:t>
                  </m:r>
                  <m:ctrlPr>
                    <w:rPr>
                      <w:rFonts w:hint="default" w:ascii="Cambria Math" w:hAnsi="Cambria Math" w:cs="Times New Roman"/>
                      <w:kern w:val="2"/>
                      <w:sz w:val="24"/>
                      <w:szCs w:val="24"/>
                      <w:highlight w:val="none"/>
                      <w:shd w:val="clear" w:color="auto" w:fill="auto"/>
                      <w:lang w:val="en-US" w:eastAsia="zh-CN" w:bidi="ar-SA"/>
                    </w:rPr>
                  </m:ctrlPr>
                </m:sub>
              </m:sSub>
              <m:r>
                <m:rPr>
                  <m:sty m:val="p"/>
                </m:rPr>
                <w:rPr>
                  <w:rFonts w:hint="default" w:ascii="Cambria Math" w:hAnsi="Cambria Math" w:cs="Times New Roman"/>
                  <w:kern w:val="2"/>
                  <w:sz w:val="24"/>
                  <w:szCs w:val="24"/>
                  <w:highlight w:val="none"/>
                  <w:shd w:val="clear" w:color="auto" w:fill="auto"/>
                  <w:lang w:val="en-US" w:eastAsia="zh-CN" w:bidi="ar-SA"/>
                </w:rPr>
                <m:t>e</m:t>
              </m:r>
            </m:oMath>
            <w:r>
              <w:rPr>
                <w:rFonts w:hint="eastAsia" w:ascii="仿宋_GB2312" w:hAnsi="仿宋_GB2312" w:eastAsia="仿宋_GB2312" w:cs="仿宋_GB2312"/>
                <w:i w:val="0"/>
                <w:iCs w:val="0"/>
                <w:color w:val="000000"/>
                <w:sz w:val="24"/>
                <w:szCs w:val="24"/>
                <w:highlight w:val="none"/>
                <w:u w:val="none"/>
                <w:shd w:val="clear" w:color="auto" w:fill="auto"/>
                <w:lang w:val="en-US" w:eastAsia="zh-CN"/>
              </w:rPr>
              <w: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A2D5">
            <w:pPr>
              <w:keepNext w:val="0"/>
              <w:keepLines w:val="0"/>
              <w:widowControl/>
              <w:suppressLineNumbers w:val="0"/>
              <w:ind w:firstLine="0" w:firstLineChars="0"/>
              <w:jc w:val="center"/>
              <w:textAlignment w:val="center"/>
              <w:rPr>
                <w:rFonts w:hint="default" w:ascii="仿宋_GB2312" w:hAnsi="仿宋_GB2312" w:eastAsia="仿宋_GB2312" w:cs="仿宋_GB2312"/>
                <w:i w:val="0"/>
                <w:iCs w:val="0"/>
                <w:color w:val="000000"/>
                <w:sz w:val="24"/>
                <w:szCs w:val="24"/>
                <w:highlight w:val="none"/>
                <w:u w:val="none"/>
                <w:shd w:val="clear" w:color="auto" w:fill="auto"/>
                <w:lang w:val="en-US" w:eastAsia="zh-CN"/>
              </w:rPr>
            </w:pPr>
            <w:r>
              <w:rPr>
                <w:rFonts w:hint="eastAsia" w:ascii="仿宋_GB2312" w:hAnsi="仿宋_GB2312" w:eastAsia="仿宋_GB2312" w:cs="仿宋_GB2312"/>
                <w:i w:val="0"/>
                <w:iCs w:val="0"/>
                <w:color w:val="000000"/>
                <w:sz w:val="24"/>
                <w:szCs w:val="24"/>
                <w:highlight w:val="none"/>
                <w:u w:val="none"/>
                <w:shd w:val="clear" w:color="auto" w:fill="auto"/>
                <w:lang w:val="en-US" w:eastAsia="zh-CN"/>
              </w:rPr>
              <w:t>12092.08</w:t>
            </w:r>
          </w:p>
        </w:tc>
      </w:tr>
    </w:tbl>
    <w:p w14:paraId="264A6586">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40" w:firstLineChars="200"/>
        <w:jc w:val="both"/>
        <w:textAlignment w:val="auto"/>
        <w:rPr>
          <w:rFonts w:hint="eastAsia" w:ascii="黑体" w:hAnsi="黑体" w:eastAsia="黑体" w:cs="黑体"/>
          <w:b w:val="0"/>
          <w:bCs w:val="0"/>
          <w:color w:val="000000" w:themeColor="text1"/>
          <w:kern w:val="2"/>
          <w:sz w:val="32"/>
          <w:szCs w:val="22"/>
          <w:highlight w:val="none"/>
          <w:shd w:val="clear" w:color="auto" w:fill="auto"/>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22"/>
          <w:highlight w:val="none"/>
          <w:shd w:val="clear" w:color="auto" w:fill="auto"/>
          <w:lang w:val="en-US" w:eastAsia="zh-CN" w:bidi="ar-SA"/>
          <w14:textFill>
            <w14:solidFill>
              <w14:schemeClr w14:val="tx1"/>
            </w14:solidFill>
          </w14:textFill>
        </w:rPr>
        <w:t>（二）投融资环境影响的测算与表达</w:t>
      </w:r>
    </w:p>
    <w:p w14:paraId="6270AA9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b/>
          <w:bCs/>
          <w:color w:val="000000" w:themeColor="text1"/>
          <w:kern w:val="0"/>
          <w:sz w:val="32"/>
          <w:szCs w:val="32"/>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shd w:val="clear" w:color="auto" w:fill="auto"/>
          <w:lang w:val="en-US" w:eastAsia="zh-CN" w:bidi="ar"/>
          <w14:textFill>
            <w14:solidFill>
              <w14:schemeClr w14:val="tx1"/>
            </w14:solidFill>
          </w14:textFill>
        </w:rPr>
        <w:t>1. 绿色投融资活动的环境效益</w:t>
      </w:r>
    </w:p>
    <w:p w14:paraId="4B4957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行绿色投融资环境效益测算依据为原中国银保监会发布的《绿色信贷项目节能减排量测算指引》。项目环境效益测算所需数据均来自于项目批复文件、可研报告等文件及企业上报基础数据，有关计算系数来自《绿色信贷项目节能减排量测算指引》，测算依据如下：</w:t>
      </w:r>
    </w:p>
    <w:p w14:paraId="417237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m:oMathPara>
        <m:oMath>
          <m:r>
            <m:rPr>
              <m:sty m:val="p"/>
            </m:rPr>
            <w:rPr>
              <w:rFonts w:hint="eastAsia" w:ascii="Cambria Math" w:hAnsi="Cambria Math" w:eastAsia="仿宋_GB2312" w:cs="仿宋_GB2312"/>
              <w:sz w:val="32"/>
              <w:szCs w:val="32"/>
              <w:highlight w:val="none"/>
              <w:lang w:val="en-US" w:eastAsia="zh-CN"/>
            </w:rPr>
            <m:t>贷款形成的年节能减排量=</m:t>
          </m:r>
          <m:f>
            <m:fPr>
              <m:ctrlPr>
                <w:rPr>
                  <w:rFonts w:hint="eastAsia" w:ascii="Cambria Math" w:hAnsi="Cambria Math" w:eastAsia="仿宋_GB2312" w:cs="仿宋_GB2312"/>
                  <w:sz w:val="32"/>
                  <w:szCs w:val="32"/>
                  <w:highlight w:val="none"/>
                  <w:lang w:val="en-US" w:eastAsia="zh-CN"/>
                </w:rPr>
              </m:ctrlPr>
            </m:fPr>
            <m:num>
              <m:r>
                <m:rPr>
                  <m:sty m:val="p"/>
                </m:rPr>
                <w:rPr>
                  <w:rFonts w:hint="eastAsia" w:ascii="Cambria Math" w:hAnsi="Cambria Math" w:eastAsia="仿宋_GB2312" w:cs="仿宋_GB2312"/>
                  <w:sz w:val="32"/>
                  <w:szCs w:val="32"/>
                  <w:highlight w:val="none"/>
                  <w:lang w:val="en-US" w:eastAsia="zh-CN"/>
                </w:rPr>
                <m:t>本行对项目的贷款余额</m:t>
              </m:r>
              <m:ctrlPr>
                <w:rPr>
                  <w:rFonts w:hint="eastAsia" w:ascii="Cambria Math" w:hAnsi="Cambria Math" w:eastAsia="仿宋_GB2312" w:cs="仿宋_GB2312"/>
                  <w:sz w:val="32"/>
                  <w:szCs w:val="32"/>
                  <w:highlight w:val="none"/>
                  <w:lang w:val="en-US" w:eastAsia="zh-CN"/>
                </w:rPr>
              </m:ctrlPr>
            </m:num>
            <m:den>
              <m:r>
                <m:rPr>
                  <m:sty m:val="p"/>
                </m:rPr>
                <w:rPr>
                  <w:rFonts w:hint="eastAsia" w:ascii="Cambria Math" w:hAnsi="Cambria Math" w:eastAsia="仿宋_GB2312" w:cs="仿宋_GB2312"/>
                  <w:sz w:val="32"/>
                  <w:szCs w:val="32"/>
                  <w:highlight w:val="none"/>
                  <w:lang w:val="en-US" w:eastAsia="zh-CN"/>
                </w:rPr>
                <m:t>项目总投资</m:t>
              </m:r>
              <m:ctrlPr>
                <w:rPr>
                  <w:rFonts w:hint="eastAsia" w:ascii="Cambria Math" w:hAnsi="Cambria Math" w:eastAsia="仿宋_GB2312" w:cs="仿宋_GB2312"/>
                  <w:sz w:val="32"/>
                  <w:szCs w:val="32"/>
                  <w:highlight w:val="none"/>
                  <w:lang w:val="en-US" w:eastAsia="zh-CN"/>
                </w:rPr>
              </m:ctrlPr>
            </m:den>
          </m:f>
          <m:r>
            <m:rPr>
              <m:sty m:val="p"/>
            </m:rPr>
            <w:rPr>
              <w:rFonts w:hint="eastAsia" w:ascii="Cambria Math" w:hAnsi="Cambria Math" w:eastAsia="仿宋_GB2312" w:cs="仿宋_GB2312"/>
              <w:sz w:val="32"/>
              <w:szCs w:val="32"/>
              <w:highlight w:val="none"/>
              <w:lang w:val="en-US" w:eastAsia="zh-CN"/>
            </w:rPr>
            <m:t>×项目建成后的年节能减排量</m:t>
          </m:r>
        </m:oMath>
      </m:oMathPara>
    </w:p>
    <w:p w14:paraId="527EEE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标准煤节约量</w:t>
      </w:r>
    </w:p>
    <w:p w14:paraId="5F5E57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①</w:t>
      </w:r>
      <w:r>
        <w:rPr>
          <w:rFonts w:hint="eastAsia" w:ascii="仿宋_GB2312" w:hAnsi="仿宋_GB2312" w:eastAsia="仿宋_GB2312" w:cs="仿宋_GB2312"/>
          <w:sz w:val="32"/>
          <w:szCs w:val="32"/>
          <w:highlight w:val="none"/>
          <w:lang w:val="en-US" w:eastAsia="zh-CN"/>
        </w:rPr>
        <w:t xml:space="preserve"> </w:t>
      </w:r>
      <m:oMath>
        <m:r>
          <m:rPr>
            <m:sty m:val="p"/>
          </m:rPr>
          <w:rPr>
            <w:rFonts w:hint="default" w:ascii="Cambria Math" w:hAnsi="Cambria Math" w:eastAsia="仿宋_GB2312" w:cs="仿宋_GB2312"/>
            <w:sz w:val="32"/>
            <w:szCs w:val="32"/>
            <w:highlight w:val="none"/>
            <w:lang w:val="en-US" w:eastAsia="zh-CN"/>
          </w:rPr>
          <m:t>E</m:t>
        </m:r>
        <m:r>
          <m:rPr>
            <m:sty m:val="p"/>
          </m:rPr>
          <w:rPr>
            <w:rFonts w:hint="eastAsia" w:ascii="Cambria Math" w:hAnsi="Cambria Math" w:eastAsia="仿宋_GB2312" w:cs="仿宋_GB2312"/>
            <w:sz w:val="32"/>
            <w:szCs w:val="32"/>
            <w:highlight w:val="none"/>
            <w:lang w:val="en-US" w:eastAsia="zh-CN"/>
          </w:rPr>
          <m:t>=</m:t>
        </m:r>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w</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m:t>
        </m:r>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ag</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m:t>
        </m:r>
        <m:r>
          <m:rPr>
            <m:sty m:val="p"/>
          </m:rPr>
          <w:rPr>
            <w:rFonts w:hint="default" w:ascii="Cambria Math" w:hAnsi="Cambria Math" w:eastAsia="仿宋_GB2312" w:cs="仿宋_GB2312"/>
            <w:sz w:val="32"/>
            <w:szCs w:val="32"/>
            <w:highlight w:val="none"/>
            <w:lang w:val="en-US" w:eastAsia="zh-CN"/>
          </w:rPr>
          <m:t>10+Q</m:t>
        </m:r>
        <m:r>
          <m:rPr>
            <m:sty m:val="p"/>
          </m:rPr>
          <w:rPr>
            <w:rFonts w:hint="eastAsia" w:ascii="Cambria Math" w:hAnsi="Cambria Math" w:eastAsia="仿宋_GB2312" w:cs="仿宋_GB2312"/>
            <w:sz w:val="32"/>
            <w:szCs w:val="32"/>
            <w:highlight w:val="none"/>
            <w:lang w:val="en-US" w:eastAsia="zh-CN"/>
          </w:rPr>
          <m:t>×</m:t>
        </m:r>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ar</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m:t>
        </m:r>
        <m:sSup>
          <m:sSupPr>
            <m:ctrlPr>
              <w:rPr>
                <w:rFonts w:hint="eastAsia" w:ascii="Cambria Math" w:hAnsi="Cambria Math" w:eastAsia="仿宋_GB2312" w:cs="仿宋_GB2312"/>
                <w:sz w:val="32"/>
                <w:szCs w:val="32"/>
                <w:highlight w:val="none"/>
                <w:lang w:val="en-US" w:eastAsia="zh-CN"/>
              </w:rPr>
            </m:ctrlPr>
          </m:sSupPr>
          <m:e>
            <m:r>
              <m:rPr>
                <m:sty m:val="p"/>
              </m:rPr>
              <w:rPr>
                <w:rFonts w:hint="default" w:ascii="Cambria Math" w:hAnsi="Cambria Math" w:eastAsia="仿宋_GB2312" w:cs="仿宋_GB2312"/>
                <w:sz w:val="32"/>
                <w:szCs w:val="32"/>
                <w:highlight w:val="none"/>
                <w:lang w:val="en-US" w:eastAsia="zh-CN"/>
              </w:rPr>
              <m:t>10</m:t>
            </m:r>
            <m:ctrlPr>
              <w:rPr>
                <w:rFonts w:hint="eastAsia" w:ascii="Cambria Math" w:hAnsi="Cambria Math" w:eastAsia="仿宋_GB2312" w:cs="仿宋_GB2312"/>
                <w:sz w:val="32"/>
                <w:szCs w:val="32"/>
                <w:highlight w:val="none"/>
                <w:lang w:val="en-US" w:eastAsia="zh-CN"/>
              </w:rPr>
            </m:ctrlPr>
          </m:e>
          <m:sup>
            <m:r>
              <m:rPr>
                <m:sty m:val="p"/>
              </m:rPr>
              <w:rPr>
                <w:rFonts w:hint="default" w:ascii="Cambria Math" w:hAnsi="Cambria Math" w:eastAsia="仿宋_GB2312" w:cs="仿宋_GB2312"/>
                <w:sz w:val="32"/>
                <w:szCs w:val="32"/>
                <w:highlight w:val="none"/>
                <w:lang w:val="en-US" w:eastAsia="zh-CN"/>
              </w:rPr>
              <m:t>3</m:t>
            </m:r>
            <m:ctrlPr>
              <w:rPr>
                <w:rFonts w:hint="eastAsia" w:ascii="Cambria Math" w:hAnsi="Cambria Math" w:eastAsia="仿宋_GB2312" w:cs="仿宋_GB2312"/>
                <w:sz w:val="32"/>
                <w:szCs w:val="32"/>
                <w:highlight w:val="none"/>
                <w:lang w:val="en-US" w:eastAsia="zh-CN"/>
              </w:rPr>
            </m:ctrlPr>
          </m:sup>
        </m:sSup>
      </m:oMath>
    </w:p>
    <w:p w14:paraId="7F6F71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注：本公式适用于太阳能发电、风电、水电及生物质能发电、供热项目，不包括太阳能光热利用项目，如测算项目无供热量，公式中项目供热量数据取值为零。式中：</w:t>
      </w:r>
    </w:p>
    <w:p w14:paraId="174E59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r>
          <m:rPr>
            <m:sty m:val="p"/>
          </m:rPr>
          <w:rPr>
            <w:rFonts w:hint="default"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--标准煤节约量，单位：吨标准煤；</w:t>
      </w:r>
    </w:p>
    <w:p w14:paraId="61C270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w</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--项目年供电量，单位：万千瓦时；</w:t>
      </w:r>
    </w:p>
    <w:p w14:paraId="4F152B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ag</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--项目投产年度全国平均火电供电煤耗，单位为：千克/千瓦时；该数值取国家能源局发布的《2019年全国电力工业统计数据》0.307公斤标准煤/千瓦时。相关数据可查询国家能源局网站http://www.nea.gov.cn/；</w:t>
      </w:r>
    </w:p>
    <w:p w14:paraId="07E1DC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r>
          <m:rPr>
            <m:sty m:val="p"/>
          </m:rPr>
          <w:rPr>
            <w:rFonts w:hint="default" w:ascii="Cambria Math" w:hAnsi="Cambria Math" w:eastAsia="仿宋_GB2312" w:cs="仿宋_GB2312"/>
            <w:sz w:val="32"/>
            <w:szCs w:val="32"/>
            <w:highlight w:val="none"/>
            <w:lang w:val="en-US" w:eastAsia="zh-CN"/>
          </w:rPr>
          <m:t>Q</m:t>
        </m:r>
      </m:oMath>
      <w:r>
        <w:rPr>
          <w:rFonts w:hint="eastAsia" w:ascii="仿宋_GB2312" w:hAnsi="仿宋_GB2312" w:eastAsia="仿宋_GB2312" w:cs="仿宋_GB2312"/>
          <w:sz w:val="32"/>
          <w:szCs w:val="32"/>
          <w:highlight w:val="none"/>
          <w:lang w:val="en-US" w:eastAsia="zh-CN"/>
        </w:rPr>
        <w:t>--项目年供热量，单位：百万吉焦；</w:t>
      </w:r>
    </w:p>
    <w:p w14:paraId="59912A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ar</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--锅炉房集中供热平均供热煤耗，单位：千克标煤/吉焦。缺省值取40千克标煤/吉焦</w:t>
      </w:r>
    </w:p>
    <w:p w14:paraId="348F37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②</w:t>
      </w:r>
      <w:r>
        <w:rPr>
          <w:rFonts w:hint="eastAsia" w:ascii="仿宋_GB2312" w:hAnsi="仿宋_GB2312" w:eastAsia="仿宋_GB2312" w:cs="仿宋_GB2312"/>
          <w:sz w:val="32"/>
          <w:szCs w:val="32"/>
          <w:highlight w:val="none"/>
          <w:lang w:val="en-US" w:eastAsia="zh-CN"/>
        </w:rPr>
        <w:t xml:space="preserve"> </w:t>
      </w:r>
      <m:oMath>
        <m:r>
          <m:rPr>
            <m:sty m:val="p"/>
          </m:rPr>
          <w:rPr>
            <w:rFonts w:hint="default" w:ascii="Cambria Math" w:hAnsi="Cambria Math" w:eastAsia="仿宋_GB2312" w:cs="仿宋_GB2312"/>
            <w:sz w:val="32"/>
            <w:szCs w:val="32"/>
            <w:highlight w:val="none"/>
            <w:lang w:val="en-US" w:eastAsia="zh-CN"/>
          </w:rPr>
          <m:t>E</m:t>
        </m:r>
        <m:r>
          <m:rPr>
            <m:sty m:val="p"/>
          </m:rPr>
          <w:rPr>
            <w:rFonts w:hint="eastAsia" w:ascii="Cambria Math" w:hAnsi="Cambria Math" w:eastAsia="仿宋_GB2312" w:cs="仿宋_GB2312"/>
            <w:sz w:val="32"/>
            <w:szCs w:val="32"/>
            <w:highlight w:val="none"/>
            <w:lang w:val="en-US" w:eastAsia="zh-CN"/>
          </w:rPr>
          <m:t>=</m:t>
        </m:r>
        <m:r>
          <m:rPr>
            <m:sty m:val="p"/>
          </m:rPr>
          <w:rPr>
            <w:rFonts w:hint="default" w:ascii="Cambria Math" w:hAnsi="Cambria Math" w:eastAsia="仿宋_GB2312" w:cs="仿宋_GB2312"/>
            <w:sz w:val="32"/>
            <w:szCs w:val="32"/>
            <w:highlight w:val="none"/>
            <w:lang w:val="en-US" w:eastAsia="zh-CN"/>
          </w:rPr>
          <m:t>A</m:t>
        </m:r>
        <m:r>
          <m:rPr>
            <m:sty m:val="p"/>
          </m:rPr>
          <w:rPr>
            <w:rFonts w:hint="eastAsia" w:ascii="Cambria Math" w:hAnsi="Cambria Math" w:eastAsia="仿宋_GB2312" w:cs="仿宋_GB2312"/>
            <w:sz w:val="32"/>
            <w:szCs w:val="32"/>
            <w:highlight w:val="none"/>
            <w:lang w:val="en-US" w:eastAsia="zh-CN"/>
          </w:rPr>
          <m:t>×α×</m:t>
        </m:r>
        <m:sSup>
          <m:sSupPr>
            <m:ctrlPr>
              <w:rPr>
                <w:rFonts w:hint="eastAsia" w:ascii="Cambria Math" w:hAnsi="Cambria Math" w:eastAsia="仿宋_GB2312" w:cs="仿宋_GB2312"/>
                <w:sz w:val="32"/>
                <w:szCs w:val="32"/>
                <w:highlight w:val="none"/>
                <w:lang w:val="en-US" w:eastAsia="zh-CN"/>
              </w:rPr>
            </m:ctrlPr>
          </m:sSupPr>
          <m:e>
            <m:r>
              <m:rPr>
                <m:sty m:val="p"/>
              </m:rPr>
              <w:rPr>
                <w:rFonts w:hint="default" w:ascii="Cambria Math" w:hAnsi="Cambria Math" w:eastAsia="仿宋_GB2312" w:cs="仿宋_GB2312"/>
                <w:sz w:val="32"/>
                <w:szCs w:val="32"/>
                <w:highlight w:val="none"/>
                <w:lang w:val="en-US" w:eastAsia="zh-CN"/>
              </w:rPr>
              <m:t>10</m:t>
            </m:r>
            <m:ctrlPr>
              <w:rPr>
                <w:rFonts w:hint="eastAsia" w:ascii="Cambria Math" w:hAnsi="Cambria Math" w:eastAsia="仿宋_GB2312" w:cs="仿宋_GB2312"/>
                <w:sz w:val="32"/>
                <w:szCs w:val="32"/>
                <w:highlight w:val="none"/>
                <w:lang w:val="en-US" w:eastAsia="zh-CN"/>
              </w:rPr>
            </m:ctrlPr>
          </m:e>
          <m:sup>
            <m:r>
              <m:rPr>
                <m:sty m:val="p"/>
              </m:rPr>
              <w:rPr>
                <w:rFonts w:hint="default" w:ascii="Cambria Math" w:hAnsi="Cambria Math" w:eastAsia="仿宋_GB2312" w:cs="仿宋_GB2312"/>
                <w:sz w:val="32"/>
                <w:szCs w:val="32"/>
                <w:highlight w:val="none"/>
                <w:lang w:val="en-US" w:eastAsia="zh-CN"/>
              </w:rPr>
              <m:t>4</m:t>
            </m:r>
            <m:ctrlPr>
              <w:rPr>
                <w:rFonts w:hint="eastAsia" w:ascii="Cambria Math" w:hAnsi="Cambria Math" w:eastAsia="仿宋_GB2312" w:cs="仿宋_GB2312"/>
                <w:sz w:val="32"/>
                <w:szCs w:val="32"/>
                <w:highlight w:val="none"/>
                <w:lang w:val="en-US" w:eastAsia="zh-CN"/>
              </w:rPr>
            </m:ctrlPr>
          </m:sup>
        </m:sSup>
      </m:oMath>
    </w:p>
    <w:p w14:paraId="098A20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本公式适用于太阳能光热利用项目。式中：</w:t>
      </w:r>
    </w:p>
    <w:p w14:paraId="2AD944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r>
          <m:rPr>
            <m:sty m:val="p"/>
          </m:rPr>
          <w:rPr>
            <w:rFonts w:hint="default"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--项目年标煤节约量，单位为：吨标准煤；</w:t>
      </w:r>
    </w:p>
    <w:p w14:paraId="74381F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r>
          <m:rPr>
            <m:sty m:val="p"/>
          </m:rPr>
          <w:rPr>
            <w:rFonts w:hint="default" w:ascii="Cambria Math" w:hAnsi="Cambria Math" w:eastAsia="仿宋_GB2312" w:cs="仿宋_GB2312"/>
            <w:sz w:val="32"/>
            <w:szCs w:val="32"/>
            <w:highlight w:val="none"/>
            <w:lang w:val="en-US" w:eastAsia="zh-CN"/>
          </w:rPr>
          <m:t>A</m:t>
        </m:r>
      </m:oMath>
      <w:r>
        <w:rPr>
          <w:rFonts w:hint="eastAsia" w:ascii="仿宋_GB2312" w:hAnsi="仿宋_GB2312" w:eastAsia="仿宋_GB2312" w:cs="仿宋_GB2312"/>
          <w:sz w:val="32"/>
          <w:szCs w:val="32"/>
          <w:highlight w:val="none"/>
          <w:lang w:val="en-US" w:eastAsia="zh-CN"/>
        </w:rPr>
        <w:t>--项目太阳能光热利用规模，单位为：万平方米；</w:t>
      </w:r>
    </w:p>
    <w:p w14:paraId="3A571E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r>
          <m:rPr>
            <m:sty m:val="p"/>
          </m:rPr>
          <w:rPr>
            <w:rFonts w:hint="eastAsia" w:ascii="Cambria Math" w:hAnsi="Cambria Math" w:eastAsia="仿宋_GB2312" w:cs="仿宋_GB2312"/>
            <w:sz w:val="32"/>
            <w:szCs w:val="32"/>
            <w:highlight w:val="none"/>
            <w:lang w:val="en-US" w:eastAsia="zh-CN"/>
          </w:rPr>
          <m:t>α</m:t>
        </m:r>
      </m:oMath>
      <w:r>
        <w:rPr>
          <w:rFonts w:hint="eastAsia" w:ascii="仿宋_GB2312" w:hAnsi="仿宋_GB2312" w:eastAsia="仿宋_GB2312" w:cs="仿宋_GB2312"/>
          <w:sz w:val="32"/>
          <w:szCs w:val="32"/>
          <w:highlight w:val="none"/>
          <w:lang w:val="en-US" w:eastAsia="zh-CN"/>
        </w:rPr>
        <w:t>--单位利用规模折算标煤量，单位为：吨标煤/平方米。对于太阳能热水项目缺省值取0.15吨标煤/平方米</w:t>
      </w:r>
    </w:p>
    <w:p w14:paraId="6836F3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二氧化碳减排量</w:t>
      </w:r>
    </w:p>
    <w:p w14:paraId="698199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m:oMathPara>
        <m:oMath>
          <m:sSub>
            <m:sSubPr>
              <m:ctrlPr>
                <w:rPr>
                  <w:rFonts w:hint="default"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CO</m:t>
              </m:r>
              <m:ctrlPr>
                <w:rPr>
                  <w:rFonts w:hint="default"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2</m:t>
              </m:r>
              <m:ctrlPr>
                <w:rPr>
                  <w:rFonts w:hint="default" w:ascii="Cambria Math" w:hAnsi="Cambria Math" w:eastAsia="仿宋_GB2312" w:cs="仿宋_GB2312"/>
                  <w:sz w:val="32"/>
                  <w:szCs w:val="32"/>
                  <w:highlight w:val="none"/>
                  <w:lang w:val="en-US" w:eastAsia="zh-CN"/>
                </w:rPr>
              </m:ctrlPr>
            </m:sub>
          </m:sSub>
          <m:r>
            <m:rPr>
              <m:sty m:val="p"/>
            </m:rPr>
            <w:rPr>
              <w:rFonts w:hint="default" w:ascii="Cambria Math" w:hAnsi="Cambria Math" w:eastAsia="仿宋_GB2312" w:cs="仿宋_GB2312"/>
              <w:sz w:val="32"/>
              <w:szCs w:val="32"/>
              <w:highlight w:val="none"/>
              <w:lang w:val="en-US" w:eastAsia="zh-CN"/>
            </w:rPr>
            <m:t>=</m:t>
          </m:r>
          <m:sSub>
            <m:sSubPr>
              <m:ctrlPr>
                <w:rPr>
                  <w:rFonts w:hint="default"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w</m:t>
              </m:r>
              <m:ctrlPr>
                <w:rPr>
                  <w:rFonts w:hint="default"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default" w:ascii="Cambria Math" w:hAnsi="Cambria Math" w:eastAsia="仿宋_GB2312" w:cs="仿宋_GB2312"/>
                  <w:sz w:val="32"/>
                  <w:szCs w:val="32"/>
                  <w:highlight w:val="none"/>
                  <w:lang w:val="en-US" w:eastAsia="zh-CN"/>
                </w:rPr>
              </m:ctrlPr>
            </m:sub>
          </m:sSub>
          <m:r>
            <m:rPr>
              <m:sty m:val="p"/>
            </m:rPr>
            <w:rPr>
              <w:rFonts w:hint="default" w:ascii="Cambria Math" w:hAnsi="Cambria Math" w:eastAsia="仿宋_GB2312" w:cs="仿宋_GB2312"/>
              <w:sz w:val="32"/>
              <w:szCs w:val="32"/>
              <w:highlight w:val="none"/>
              <w:lang w:val="en-US" w:eastAsia="zh-CN"/>
            </w:rPr>
            <m:t>×</m:t>
          </m:r>
          <m:sSub>
            <m:sSubPr>
              <m:ctrlPr>
                <w:rPr>
                  <w:rFonts w:hint="default"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α</m:t>
              </m:r>
              <m:ctrlPr>
                <w:rPr>
                  <w:rFonts w:hint="default"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i</m:t>
              </m:r>
              <m:ctrlPr>
                <w:rPr>
                  <w:rFonts w:hint="default" w:ascii="Cambria Math" w:hAnsi="Cambria Math" w:eastAsia="仿宋_GB2312" w:cs="仿宋_GB2312"/>
                  <w:sz w:val="32"/>
                  <w:szCs w:val="32"/>
                  <w:highlight w:val="none"/>
                  <w:lang w:val="en-US" w:eastAsia="zh-CN"/>
                </w:rPr>
              </m:ctrlPr>
            </m:sub>
          </m:sSub>
          <m:r>
            <m:rPr>
              <m:sty m:val="p"/>
            </m:rPr>
            <w:rPr>
              <w:rFonts w:hint="default" w:ascii="Cambria Math" w:hAnsi="Cambria Math" w:eastAsia="仿宋_GB2312" w:cs="仿宋_GB2312"/>
              <w:sz w:val="32"/>
              <w:szCs w:val="32"/>
              <w:highlight w:val="none"/>
              <w:lang w:val="en-US" w:eastAsia="zh-CN"/>
            </w:rPr>
            <m:t>+</m:t>
          </m:r>
          <m:sSub>
            <m:sSubPr>
              <m:ctrlPr>
                <w:rPr>
                  <w:rFonts w:hint="default"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Q</m:t>
              </m:r>
              <m:ctrlPr>
                <w:rPr>
                  <w:rFonts w:hint="default"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default" w:ascii="Cambria Math" w:hAnsi="Cambria Math" w:eastAsia="仿宋_GB2312" w:cs="仿宋_GB2312"/>
                  <w:sz w:val="32"/>
                  <w:szCs w:val="32"/>
                  <w:highlight w:val="none"/>
                  <w:lang w:val="en-US" w:eastAsia="zh-CN"/>
                </w:rPr>
              </m:ctrlPr>
            </m:sub>
          </m:sSub>
          <m:r>
            <m:rPr>
              <m:sty m:val="p"/>
            </m:rPr>
            <w:rPr>
              <w:rFonts w:hint="default" w:ascii="Cambria Math" w:hAnsi="Cambria Math" w:eastAsia="仿宋_GB2312" w:cs="仿宋_GB2312"/>
              <w:sz w:val="32"/>
              <w:szCs w:val="32"/>
              <w:highlight w:val="none"/>
              <w:lang w:val="en-US" w:eastAsia="zh-CN"/>
            </w:rPr>
            <m:t>×</m:t>
          </m:r>
          <m:sSub>
            <m:sSubPr>
              <m:ctrlPr>
                <w:rPr>
                  <w:rFonts w:hint="default"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default"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default" w:ascii="Cambria Math" w:hAnsi="Cambria Math" w:eastAsia="仿宋_GB2312" w:cs="仿宋_GB2312"/>
                  <w:sz w:val="32"/>
                  <w:szCs w:val="32"/>
                  <w:highlight w:val="none"/>
                  <w:lang w:val="en-US" w:eastAsia="zh-CN"/>
                </w:rPr>
              </m:ctrlPr>
            </m:sub>
          </m:sSub>
          <m:r>
            <m:rPr>
              <m:sty m:val="p"/>
            </m:rPr>
            <w:rPr>
              <w:rFonts w:hint="default" w:ascii="Cambria Math" w:hAnsi="Cambria Math" w:eastAsia="仿宋_GB2312" w:cs="仿宋_GB2312"/>
              <w:sz w:val="32"/>
              <w:szCs w:val="32"/>
              <w:highlight w:val="none"/>
              <w:lang w:val="en-US" w:eastAsia="zh-CN"/>
            </w:rPr>
            <m:t>×</m:t>
          </m:r>
          <m:sSup>
            <m:sSupPr>
              <m:ctrlPr>
                <w:rPr>
                  <w:rFonts w:hint="default" w:ascii="Cambria Math" w:hAnsi="Cambria Math" w:eastAsia="仿宋_GB2312" w:cs="仿宋_GB2312"/>
                  <w:sz w:val="32"/>
                  <w:szCs w:val="32"/>
                  <w:highlight w:val="none"/>
                  <w:lang w:val="en-US" w:eastAsia="zh-CN"/>
                </w:rPr>
              </m:ctrlPr>
            </m:sSupPr>
            <m:e>
              <m:r>
                <m:rPr>
                  <m:sty m:val="p"/>
                </m:rPr>
                <w:rPr>
                  <w:rFonts w:hint="default" w:ascii="Cambria Math" w:hAnsi="Cambria Math" w:eastAsia="仿宋_GB2312" w:cs="仿宋_GB2312"/>
                  <w:sz w:val="32"/>
                  <w:szCs w:val="32"/>
                  <w:highlight w:val="none"/>
                  <w:lang w:val="en-US" w:eastAsia="zh-CN"/>
                </w:rPr>
                <m:t>10</m:t>
              </m:r>
              <m:ctrlPr>
                <w:rPr>
                  <w:rFonts w:hint="default" w:ascii="Cambria Math" w:hAnsi="Cambria Math" w:eastAsia="仿宋_GB2312" w:cs="仿宋_GB2312"/>
                  <w:sz w:val="32"/>
                  <w:szCs w:val="32"/>
                  <w:highlight w:val="none"/>
                  <w:lang w:val="en-US" w:eastAsia="zh-CN"/>
                </w:rPr>
              </m:ctrlPr>
            </m:e>
            <m:sup>
              <m:r>
                <m:rPr>
                  <m:sty m:val="p"/>
                </m:rPr>
                <w:rPr>
                  <w:rFonts w:hint="default" w:ascii="Cambria Math" w:hAnsi="Cambria Math" w:eastAsia="仿宋_GB2312" w:cs="仿宋_GB2312"/>
                  <w:sz w:val="32"/>
                  <w:szCs w:val="32"/>
                  <w:highlight w:val="none"/>
                  <w:lang w:val="en-US" w:eastAsia="zh-CN"/>
                </w:rPr>
                <m:t>3</m:t>
              </m:r>
              <m:ctrlPr>
                <w:rPr>
                  <w:rFonts w:hint="default" w:ascii="Cambria Math" w:hAnsi="Cambria Math" w:eastAsia="仿宋_GB2312" w:cs="仿宋_GB2312"/>
                  <w:sz w:val="32"/>
                  <w:szCs w:val="32"/>
                  <w:highlight w:val="none"/>
                  <w:lang w:val="en-US" w:eastAsia="zh-CN"/>
                </w:rPr>
              </m:ctrlPr>
            </m:sup>
          </m:sSup>
          <m:r>
            <m:rPr>
              <m:sty m:val="p"/>
            </m:rPr>
            <w:rPr>
              <w:rFonts w:hint="default" w:ascii="Cambria Math" w:hAnsi="Cambria Math" w:eastAsia="仿宋_GB2312" w:cs="仿宋_GB2312"/>
              <w:sz w:val="32"/>
              <w:szCs w:val="32"/>
              <w:highlight w:val="none"/>
              <w:lang w:val="en-US" w:eastAsia="zh-CN"/>
            </w:rPr>
            <m:t>×2.21</m:t>
          </m:r>
        </m:oMath>
      </m:oMathPara>
    </w:p>
    <w:p w14:paraId="6A013D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注：本公式根据可再生能源供电量与区域电网基准线排放因子并结合供热量计算二氧化碳减排量。式中：</w:t>
      </w:r>
    </w:p>
    <w:p w14:paraId="697CA3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CO</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--项目二氧化碳减排量，单位：</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w:t>
      </w:r>
    </w:p>
    <w:p w14:paraId="03779B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w</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--项目年供电量，单位：兆瓦时；</w:t>
      </w:r>
    </w:p>
    <w:p w14:paraId="7584C8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α</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i</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--可再生能源发电项目所在地区区域电网的二氧化碳基准线排放因子。单位：</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r>
          <m:rPr>
            <m:sty m:val="p"/>
          </m:rPr>
          <w:rPr>
            <w:rFonts w:hint="default" w:ascii="Cambria Math" w:hAnsi="Cambria Math" w:eastAsia="仿宋_GB2312" w:cs="仿宋_GB2312"/>
            <w:sz w:val="32"/>
            <w:szCs w:val="32"/>
            <w:highlight w:val="none"/>
            <w:lang w:val="en-US" w:eastAsia="zh-CN"/>
          </w:rPr>
          <m:t>/MW</m:t>
        </m:r>
        <m:r>
          <m:rPr>
            <m:sty m:val="p"/>
          </m:rPr>
          <w:rPr>
            <w:rFonts w:hint="eastAsia" w:ascii="Cambria Math" w:hAnsi="Cambria Math" w:eastAsia="仿宋_GB2312" w:cs="仿宋_GB2312"/>
            <w:sz w:val="32"/>
            <w:szCs w:val="32"/>
            <w:highlight w:val="none"/>
            <w:lang w:val="en-US" w:eastAsia="zh-CN"/>
          </w:rPr>
          <m:t>h</m:t>
        </m:r>
      </m:oMath>
      <w:r>
        <w:rPr>
          <w:rFonts w:hint="eastAsia" w:ascii="仿宋_GB2312" w:hAnsi="仿宋_GB2312" w:eastAsia="仿宋_GB2312" w:cs="仿宋_GB2312"/>
          <w:sz w:val="32"/>
          <w:szCs w:val="32"/>
          <w:highlight w:val="none"/>
          <w:lang w:val="en-US" w:eastAsia="zh-CN"/>
        </w:rPr>
        <w:t>；</w:t>
      </w:r>
    </w:p>
    <w:p w14:paraId="016EBF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Q</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--项目年供热量，单位：百万吉焦；若只发电不供热，则</w:t>
      </w:r>
      <w:r>
        <w:rPr>
          <w:rFonts w:hint="eastAsia" w:ascii="仿宋_GB2312" w:hAnsi="仿宋_GB2312" w:eastAsia="仿宋_GB2312" w:cs="仿宋_GB2312"/>
          <w:sz w:val="32"/>
          <w:szCs w:val="32"/>
          <w:highlight w:val="none"/>
          <w:lang w:val="en-US" w:eastAsia="zh-CN"/>
        </w:rPr>
        <w:object>
          <v:shape id="_x0000_i1025" o:spt="75" type="#_x0000_t75" style="height:21.75pt;width:14.25pt;" o:ole="t" filled="f" coordsize="21600,21600">
            <v:path/>
            <v:fill on="f" focussize="0,0"/>
            <v:stroke/>
            <v:imagedata r:id="rId11" o:title=""/>
            <o:lock v:ext="edit" aspectratio="t"/>
            <w10:wrap type="none"/>
            <w10:anchorlock/>
          </v:shape>
          <o:OLEObject Type="Embed" ProgID="Equation.3" ShapeID="_x0000_i1025" DrawAspect="Content" ObjectID="_1468075725" r:id="rId10">
            <o:LockedField>false</o:LockedField>
          </o:OLEObject>
        </w:object>
      </w:r>
      <w:r>
        <w:rPr>
          <w:rFonts w:hint="eastAsia" w:ascii="仿宋_GB2312" w:hAnsi="仿宋_GB2312" w:eastAsia="仿宋_GB2312" w:cs="仿宋_GB2312"/>
          <w:sz w:val="32"/>
          <w:szCs w:val="32"/>
          <w:highlight w:val="none"/>
          <w:lang w:val="en-US" w:eastAsia="zh-CN"/>
        </w:rPr>
        <w:t>值为零；</w:t>
      </w:r>
    </w:p>
    <w:p w14:paraId="25D44D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eastAsia="zh-CN"/>
              </w:rPr>
            </m:ctrlPr>
          </m:sSubPr>
          <m:e>
            <m:r>
              <m:rPr>
                <m:sty m:val="p"/>
              </m:rPr>
              <w:rPr>
                <w:rFonts w:hint="default" w:ascii="Cambria Math" w:hAnsi="Cambria Math" w:eastAsia="仿宋_GB2312" w:cs="仿宋_GB2312"/>
                <w:sz w:val="32"/>
                <w:szCs w:val="32"/>
                <w:highlight w:val="none"/>
                <w:lang w:val="en-US" w:eastAsia="zh-CN"/>
              </w:rPr>
              <m:t>b</m:t>
            </m:r>
            <m:ctrlPr>
              <w:rPr>
                <w:rFonts w:hint="eastAsia" w:ascii="Cambria Math" w:hAnsi="Cambria Math" w:eastAsia="仿宋_GB2312" w:cs="仿宋_GB2312"/>
                <w:sz w:val="32"/>
                <w:szCs w:val="32"/>
                <w:highlight w:val="none"/>
                <w:lang w:val="en-US" w:eastAsia="zh-CN"/>
              </w:rPr>
            </m:ctrlPr>
          </m:e>
          <m:sub>
            <m:r>
              <m:rPr>
                <m:sty m:val="p"/>
              </m:rPr>
              <w:rPr>
                <w:rFonts w:hint="default" w:ascii="Cambria Math" w:hAnsi="Cambria Math" w:eastAsia="仿宋_GB2312" w:cs="仿宋_GB2312"/>
                <w:sz w:val="32"/>
                <w:szCs w:val="32"/>
                <w:highlight w:val="none"/>
                <w:lang w:val="en-US" w:eastAsia="zh-CN"/>
              </w:rPr>
              <m:t>g</m:t>
            </m:r>
            <m:ctrlPr>
              <w:rPr>
                <w:rFonts w:hint="eastAsia" w:ascii="Cambria Math" w:hAnsi="Cambria Math" w:eastAsia="仿宋_GB2312" w:cs="仿宋_GB2312"/>
                <w:sz w:val="32"/>
                <w:szCs w:val="32"/>
                <w:highlight w:val="none"/>
                <w:lang w:val="en-US" w:eastAsia="zh-CN"/>
              </w:rPr>
            </m:ctrlPr>
          </m:sub>
        </m:sSub>
      </m:oMath>
      <w:r>
        <w:rPr>
          <w:rFonts w:hint="eastAsia" w:ascii="仿宋_GB2312" w:hAnsi="仿宋_GB2312" w:eastAsia="仿宋_GB2312" w:cs="仿宋_GB2312"/>
          <w:sz w:val="32"/>
          <w:szCs w:val="32"/>
          <w:highlight w:val="none"/>
          <w:lang w:val="en-US" w:eastAsia="zh-CN"/>
        </w:rPr>
        <w:t>--全国集中供热锅炉房平均供热煤耗，单位：千克标煤/吉焦。缺省值取40千克标煤/吉焦。</w:t>
      </w:r>
    </w:p>
    <w:p w14:paraId="4041FCDD">
      <w:pPr>
        <w:keepNext w:val="0"/>
        <w:keepLines w:val="0"/>
        <w:pageBreakBefore w:val="0"/>
        <w:widowControl w:val="0"/>
        <w:numPr>
          <w:ilvl w:val="0"/>
          <w:numId w:val="0"/>
        </w:numPr>
        <w:kinsoku/>
        <w:wordWrap/>
        <w:overflowPunct/>
        <w:topLinePunct w:val="0"/>
        <w:autoSpaceDE/>
        <w:autoSpaceDN/>
        <w:bidi w:val="0"/>
        <w:adjustRightInd/>
        <w:snapToGrid/>
        <w:spacing w:before="0" w:line="520" w:lineRule="exact"/>
        <w:ind w:firstLine="643" w:firstLineChars="200"/>
        <w:jc w:val="both"/>
        <w:textAlignment w:val="auto"/>
        <w:rPr>
          <w:rFonts w:hint="eastAsia"/>
          <w:highlight w:val="none"/>
          <w:lang w:val="en-US" w:eastAsia="zh-CN"/>
        </w:rPr>
      </w:pPr>
      <w:r>
        <w:rPr>
          <w:rFonts w:hint="eastAsia" w:ascii="仿宋_GB2312" w:hAnsi="仿宋_GB2312" w:eastAsia="仿宋_GB2312" w:cs="仿宋_GB2312"/>
          <w:b/>
          <w:bCs/>
          <w:color w:val="000000" w:themeColor="text1"/>
          <w:sz w:val="32"/>
          <w:szCs w:val="32"/>
          <w:highlight w:val="none"/>
          <w:shd w:val="clear" w:color="auto" w:fill="auto"/>
          <w:lang w:val="en-US" w:eastAsia="zh-CN"/>
          <w14:textFill>
            <w14:solidFill>
              <w14:schemeClr w14:val="tx1"/>
            </w14:solidFill>
          </w14:textFill>
        </w:rPr>
        <w:t>2.投融资活动碳排放</w:t>
      </w:r>
    </w:p>
    <w:p w14:paraId="49B7F2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行投融资活动碳排放量测算方法来源于中国人民银行《金融机构碳核算技术指南（试行）》，其中企业碳排放数据基于客户提供的碳排放数据或能耗数据计算得出，对于部分贷款企业/项目数据如客户无法提供，则主要根据企业/项目投入量/产出量等参数与同行业企业/项目类比得到。企业或项目本身的碳排放量是按照GB/T32150及相关企业温室气体排放核算和报告标准、企业温室气体排放核算方法与报告指南（试行）等的要求，核算其报告期内的排放量。具体核算方法如下：</w:t>
      </w:r>
    </w:p>
    <w:p w14:paraId="63EFD611">
      <w:pPr>
        <w:keepNext w:val="0"/>
        <w:keepLines w:val="0"/>
        <w:pageBreakBefore w:val="0"/>
        <w:widowControl w:val="0"/>
        <w:numPr>
          <w:ilvl w:val="0"/>
          <w:numId w:val="8"/>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项目融资碳减排测算</w:t>
      </w:r>
    </w:p>
    <w:p w14:paraId="6F76C6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项目融资碳减排测算与项目融资业务碳排放核算的对象保持一致，且相关项目的分类及内涵应符合《绿色债券支持项目目录》《绿色产业指导目录》等要求。</w:t>
      </w:r>
    </w:p>
    <w:p w14:paraId="02EF35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项目有多个投资主体时，根据金融机构对项目的投资额与项目总投资的比例分摊折算项目融资业务对应的碳减排量，如下公式：</w:t>
      </w:r>
    </w:p>
    <w:p w14:paraId="38755D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Para>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项目业务</m:t>
              </m:r>
              <m:ctrlPr>
                <w:rPr>
                  <w:rFonts w:hint="eastAsia" w:ascii="Cambria Math" w:hAnsi="Cambria Math" w:eastAsia="仿宋_GB2312" w:cs="仿宋_GB2312"/>
                  <w:sz w:val="32"/>
                  <w:szCs w:val="32"/>
                  <w:highlight w:val="none"/>
                  <w:lang w:val="en-US"/>
                </w:rPr>
              </m:ctrlPr>
            </m:sub>
          </m:sSub>
          <m:r>
            <m:rPr>
              <m:sty m:val="p"/>
            </m:rPr>
            <w:rPr>
              <w:rFonts w:hint="eastAsia" w:ascii="Cambria Math" w:hAnsi="Cambria Math" w:eastAsia="仿宋_GB2312" w:cs="仿宋_GB2312"/>
              <w:sz w:val="32"/>
              <w:szCs w:val="32"/>
              <w:highlight w:val="none"/>
              <w:lang w:val="en-US" w:eastAsia="zh-CN"/>
            </w:rPr>
            <m:t>=</m:t>
          </m:r>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项目</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m:t>
          </m:r>
          <m:d>
            <m:dPr>
              <m:ctrlPr>
                <w:rPr>
                  <w:rFonts w:hint="eastAsia" w:ascii="Cambria Math" w:hAnsi="Cambria Math" w:eastAsia="仿宋_GB2312" w:cs="仿宋_GB2312"/>
                  <w:sz w:val="32"/>
                  <w:szCs w:val="32"/>
                  <w:highlight w:val="none"/>
                  <w:lang w:val="en-US" w:eastAsia="zh-CN"/>
                </w:rPr>
              </m:ctrlPr>
            </m:dPr>
            <m:e>
              <m:f>
                <m:fPr>
                  <m:ctrlPr>
                    <w:rPr>
                      <w:rFonts w:hint="eastAsia" w:ascii="Cambria Math" w:hAnsi="Cambria Math" w:eastAsia="仿宋_GB2312" w:cs="仿宋_GB2312"/>
                      <w:sz w:val="32"/>
                      <w:szCs w:val="32"/>
                      <w:highlight w:val="none"/>
                      <w:lang w:val="en-US" w:eastAsia="zh-CN"/>
                    </w:rPr>
                  </m:ctrlPr>
                </m:fPr>
                <m:num>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投资</m:t>
                      </m:r>
                      <m:ctrlPr>
                        <w:rPr>
                          <w:rFonts w:hint="eastAsia" w:ascii="Cambria Math" w:hAnsi="Cambria Math" w:eastAsia="仿宋_GB2312" w:cs="仿宋_GB2312"/>
                          <w:sz w:val="32"/>
                          <w:szCs w:val="32"/>
                          <w:highlight w:val="none"/>
                          <w:lang w:val="en-US" w:eastAsia="zh-CN"/>
                        </w:rPr>
                      </m:ctrlPr>
                    </m:sub>
                  </m:sSub>
                  <m:ctrlPr>
                    <w:rPr>
                      <w:rFonts w:hint="eastAsia" w:ascii="Cambria Math" w:hAnsi="Cambria Math" w:eastAsia="仿宋_GB2312" w:cs="仿宋_GB2312"/>
                      <w:sz w:val="32"/>
                      <w:szCs w:val="32"/>
                      <w:highlight w:val="none"/>
                      <w:lang w:val="en-US" w:eastAsia="zh-CN"/>
                    </w:rPr>
                  </m:ctrlPr>
                </m:num>
                <m:den>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总投资</m:t>
                      </m:r>
                      <m:ctrlPr>
                        <w:rPr>
                          <w:rFonts w:hint="eastAsia" w:ascii="Cambria Math" w:hAnsi="Cambria Math" w:eastAsia="仿宋_GB2312" w:cs="仿宋_GB2312"/>
                          <w:sz w:val="32"/>
                          <w:szCs w:val="32"/>
                          <w:highlight w:val="none"/>
                          <w:lang w:val="en-US" w:eastAsia="zh-CN"/>
                        </w:rPr>
                      </m:ctrlPr>
                    </m:sub>
                  </m:sSub>
                  <m:ctrlPr>
                    <w:rPr>
                      <w:rFonts w:hint="eastAsia" w:ascii="Cambria Math" w:hAnsi="Cambria Math" w:eastAsia="仿宋_GB2312" w:cs="仿宋_GB2312"/>
                      <w:sz w:val="32"/>
                      <w:szCs w:val="32"/>
                      <w:highlight w:val="none"/>
                      <w:lang w:val="en-US" w:eastAsia="zh-CN"/>
                    </w:rPr>
                  </m:ctrlPr>
                </m:den>
              </m:f>
              <m:ctrlPr>
                <w:rPr>
                  <w:rFonts w:hint="eastAsia" w:ascii="Cambria Math" w:hAnsi="Cambria Math" w:eastAsia="仿宋_GB2312" w:cs="仿宋_GB2312"/>
                  <w:sz w:val="32"/>
                  <w:szCs w:val="32"/>
                  <w:highlight w:val="none"/>
                  <w:lang w:val="en-US" w:eastAsia="zh-CN"/>
                </w:rPr>
              </m:ctrlPr>
            </m:e>
          </m:d>
        </m:oMath>
      </m:oMathPara>
    </w:p>
    <w:p w14:paraId="65E3F4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公式中：</w:t>
      </w:r>
    </w:p>
    <w:p w14:paraId="56D42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项目业务</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报告期内，项目融资业务对应的碳减排量，单位为</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w:t>
      </w:r>
    </w:p>
    <w:p w14:paraId="760E1B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项目</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报告期内，项目的碳减排量，单位为</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w:t>
      </w:r>
    </w:p>
    <w:p w14:paraId="4B684D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投资</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--报告期内，金融机构对项目的月均投资额，单位为万元；</w:t>
      </w:r>
    </w:p>
    <w:p w14:paraId="4CBA8A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总投资</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--报告期内，项目的总投资额，单位为万元。</w:t>
      </w:r>
    </w:p>
    <w:p w14:paraId="551E9D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当</w:t>
      </w: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投资</m:t>
            </m:r>
            <m:ctrlPr>
              <w:rPr>
                <w:rFonts w:hint="eastAsia" w:ascii="Cambria Math" w:hAnsi="Cambria Math" w:eastAsia="仿宋_GB2312" w:cs="仿宋_GB2312"/>
                <w:sz w:val="32"/>
                <w:szCs w:val="32"/>
                <w:highlight w:val="none"/>
                <w:lang w:val="en-US"/>
              </w:rPr>
            </m:ctrlPr>
          </m:sub>
        </m:sSub>
        <m:r>
          <m:rPr>
            <m:sty m:val="p"/>
          </m:rPr>
          <w:rPr>
            <w:rFonts w:hint="eastAsia" w:ascii="Cambria Math" w:hAnsi="Cambria Math" w:eastAsia="仿宋_GB2312" w:cs="仿宋_GB2312"/>
            <w:sz w:val="32"/>
            <w:szCs w:val="32"/>
            <w:highlight w:val="none"/>
            <w:lang w:val="en-US"/>
          </w:rPr>
          <m:t>&gt;</m:t>
        </m:r>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总投资</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时，</w:t>
      </w:r>
      <m:oMath>
        <m:d>
          <m:dPr>
            <m:ctrlPr>
              <w:rPr>
                <w:rFonts w:hint="eastAsia" w:ascii="Cambria Math" w:hAnsi="Cambria Math" w:eastAsia="仿宋_GB2312" w:cs="仿宋_GB2312"/>
                <w:sz w:val="32"/>
                <w:szCs w:val="32"/>
                <w:highlight w:val="none"/>
                <w:lang w:val="en-US"/>
              </w:rPr>
            </m:ctrlPr>
          </m:dPr>
          <m:e>
            <m:f>
              <m:fPr>
                <m:ctrlPr>
                  <w:rPr>
                    <w:rFonts w:hint="eastAsia" w:ascii="Cambria Math" w:hAnsi="Cambria Math" w:eastAsia="仿宋_GB2312" w:cs="仿宋_GB2312"/>
                    <w:sz w:val="32"/>
                    <w:szCs w:val="32"/>
                    <w:highlight w:val="none"/>
                    <w:lang w:val="en-US"/>
                  </w:rPr>
                </m:ctrlPr>
              </m:fPr>
              <m:num>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投资</m:t>
                    </m:r>
                    <m:ctrlPr>
                      <w:rPr>
                        <w:rFonts w:hint="eastAsia" w:ascii="Cambria Math" w:hAnsi="Cambria Math" w:eastAsia="仿宋_GB2312" w:cs="仿宋_GB2312"/>
                        <w:sz w:val="32"/>
                        <w:szCs w:val="32"/>
                        <w:highlight w:val="none"/>
                        <w:lang w:val="en-US"/>
                      </w:rPr>
                    </m:ctrlPr>
                  </m:sub>
                </m:sSub>
                <m:ctrlPr>
                  <w:rPr>
                    <w:rFonts w:hint="eastAsia" w:ascii="Cambria Math" w:hAnsi="Cambria Math" w:eastAsia="仿宋_GB2312" w:cs="仿宋_GB2312"/>
                    <w:sz w:val="32"/>
                    <w:szCs w:val="32"/>
                    <w:highlight w:val="none"/>
                    <w:lang w:val="en-US"/>
                  </w:rPr>
                </m:ctrlPr>
              </m:num>
              <m:den>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总投资</m:t>
                    </m:r>
                    <m:ctrlPr>
                      <w:rPr>
                        <w:rFonts w:hint="eastAsia" w:ascii="Cambria Math" w:hAnsi="Cambria Math" w:eastAsia="仿宋_GB2312" w:cs="仿宋_GB2312"/>
                        <w:sz w:val="32"/>
                        <w:szCs w:val="32"/>
                        <w:highlight w:val="none"/>
                        <w:lang w:val="en-US"/>
                      </w:rPr>
                    </m:ctrlPr>
                  </m:sub>
                </m:sSub>
                <m:ctrlPr>
                  <w:rPr>
                    <w:rFonts w:hint="eastAsia" w:ascii="Cambria Math" w:hAnsi="Cambria Math" w:eastAsia="仿宋_GB2312" w:cs="仿宋_GB2312"/>
                    <w:sz w:val="32"/>
                    <w:szCs w:val="32"/>
                    <w:highlight w:val="none"/>
                    <w:lang w:val="en-US"/>
                  </w:rPr>
                </m:ctrlPr>
              </m:den>
            </m:f>
            <m:ctrlPr>
              <w:rPr>
                <w:rFonts w:hint="eastAsia" w:ascii="Cambria Math" w:hAnsi="Cambria Math" w:eastAsia="仿宋_GB2312" w:cs="仿宋_GB2312"/>
                <w:sz w:val="32"/>
                <w:szCs w:val="32"/>
                <w:highlight w:val="none"/>
                <w:lang w:val="en-US"/>
              </w:rPr>
            </m:ctrlPr>
          </m:e>
        </m:d>
        <m:r>
          <m:rPr>
            <m:sty m:val="p"/>
          </m:rPr>
          <w:rPr>
            <w:rFonts w:hint="eastAsia" w:ascii="Cambria Math" w:hAnsi="Cambria Math" w:eastAsia="仿宋_GB2312" w:cs="仿宋_GB2312"/>
            <w:sz w:val="32"/>
            <w:szCs w:val="32"/>
            <w:highlight w:val="none"/>
            <w:lang w:val="en-US" w:eastAsia="zh-CN"/>
          </w:rPr>
          <m:t>=1</m:t>
        </m:r>
      </m:oMath>
      <w:r>
        <w:rPr>
          <w:rFonts w:hint="eastAsia" w:ascii="仿宋_GB2312" w:hAnsi="仿宋_GB2312" w:eastAsia="仿宋_GB2312" w:cs="仿宋_GB2312"/>
          <w:sz w:val="32"/>
          <w:szCs w:val="32"/>
          <w:highlight w:val="none"/>
          <w:lang w:val="en-US" w:eastAsia="zh-CN"/>
        </w:rPr>
        <w:t>。</w:t>
      </w:r>
    </w:p>
    <w:p w14:paraId="73053E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金融机构项目融资业务的碳减排量等于全部项目融资业务对应的碳减排量之和。</w:t>
      </w:r>
    </w:p>
    <w:p w14:paraId="43CABB25">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非项目融资碳减排测算</w:t>
      </w:r>
    </w:p>
    <w:p w14:paraId="17532B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非项目融资碳减排测算应与非项目融资业务碳排放核算的对象保持一致。</w:t>
      </w:r>
    </w:p>
    <w:p w14:paraId="4CE2CC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融资主体属于相关主管部门及各级政府确定的重点用能单位、重点排放单位及纳入碳排放交易的单位的，应参照相关国家标准、指南等技术性文件或已备案的国家温室气体自愿减排方法学，确定其报告期内的碳减排量。对于其他类型融资主体，除参照GB/T13234中后推校准法的要求，选择适用的评估方法确定其报告期内的碳减排量外，也可采用简化方法估算碳减排量。</w:t>
      </w:r>
    </w:p>
    <w:p w14:paraId="1F011C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根据金融机构对融资主体的融资额与融资主体主营业务收入的比例分摊折算非项目融资业务对应的碳减排量，如以下公式所示：</w:t>
      </w:r>
    </w:p>
    <w:p w14:paraId="04FD8A7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m:oMathPara>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非项目业务</m:t>
              </m:r>
              <m:ctrlPr>
                <w:rPr>
                  <w:rFonts w:hint="eastAsia" w:ascii="Cambria Math" w:hAnsi="Cambria Math" w:eastAsia="仿宋_GB2312" w:cs="仿宋_GB2312"/>
                  <w:sz w:val="32"/>
                  <w:szCs w:val="32"/>
                  <w:highlight w:val="none"/>
                  <w:lang w:val="en-US"/>
                </w:rPr>
              </m:ctrlPr>
            </m:sub>
          </m:sSub>
          <m:r>
            <m:rPr>
              <m:sty m:val="p"/>
            </m:rPr>
            <w:rPr>
              <w:rFonts w:hint="eastAsia" w:ascii="Cambria Math" w:hAnsi="Cambria Math" w:eastAsia="仿宋_GB2312" w:cs="仿宋_GB2312"/>
              <w:sz w:val="32"/>
              <w:szCs w:val="32"/>
              <w:highlight w:val="none"/>
              <w:lang w:val="en-US" w:eastAsia="zh-CN"/>
            </w:rPr>
            <m:t>=</m:t>
          </m:r>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主体</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m:t>
          </m:r>
          <m:d>
            <m:dPr>
              <m:ctrlPr>
                <w:rPr>
                  <w:rFonts w:hint="eastAsia" w:ascii="Cambria Math" w:hAnsi="Cambria Math" w:eastAsia="仿宋_GB2312" w:cs="仿宋_GB2312"/>
                  <w:sz w:val="32"/>
                  <w:szCs w:val="32"/>
                  <w:highlight w:val="none"/>
                  <w:lang w:val="en-US" w:eastAsia="zh-CN"/>
                </w:rPr>
              </m:ctrlPr>
            </m:dPr>
            <m:e>
              <m:f>
                <m:fPr>
                  <m:ctrlPr>
                    <w:rPr>
                      <w:rFonts w:hint="eastAsia" w:ascii="Cambria Math" w:hAnsi="Cambria Math" w:eastAsia="仿宋_GB2312" w:cs="仿宋_GB2312"/>
                      <w:sz w:val="32"/>
                      <w:szCs w:val="32"/>
                      <w:highlight w:val="none"/>
                      <w:lang w:val="en-US" w:eastAsia="zh-CN"/>
                    </w:rPr>
                  </m:ctrlPr>
                </m:fPr>
                <m:num>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融资</m:t>
                      </m:r>
                      <m:ctrlPr>
                        <w:rPr>
                          <w:rFonts w:hint="eastAsia" w:ascii="Cambria Math" w:hAnsi="Cambria Math" w:eastAsia="仿宋_GB2312" w:cs="仿宋_GB2312"/>
                          <w:sz w:val="32"/>
                          <w:szCs w:val="32"/>
                          <w:highlight w:val="none"/>
                          <w:lang w:val="en-US" w:eastAsia="zh-CN"/>
                        </w:rPr>
                      </m:ctrlPr>
                    </m:sub>
                  </m:sSub>
                  <m:ctrlPr>
                    <w:rPr>
                      <w:rFonts w:hint="eastAsia" w:ascii="Cambria Math" w:hAnsi="Cambria Math" w:eastAsia="仿宋_GB2312" w:cs="仿宋_GB2312"/>
                      <w:sz w:val="32"/>
                      <w:szCs w:val="32"/>
                      <w:highlight w:val="none"/>
                      <w:lang w:val="en-US" w:eastAsia="zh-CN"/>
                    </w:rPr>
                  </m:ctrlPr>
                </m:num>
                <m:den>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收入</m:t>
                      </m:r>
                      <m:ctrlPr>
                        <w:rPr>
                          <w:rFonts w:hint="eastAsia" w:ascii="Cambria Math" w:hAnsi="Cambria Math" w:eastAsia="仿宋_GB2312" w:cs="仿宋_GB2312"/>
                          <w:sz w:val="32"/>
                          <w:szCs w:val="32"/>
                          <w:highlight w:val="none"/>
                          <w:lang w:val="en-US" w:eastAsia="zh-CN"/>
                        </w:rPr>
                      </m:ctrlPr>
                    </m:sub>
                  </m:sSub>
                  <m:ctrlPr>
                    <w:rPr>
                      <w:rFonts w:hint="eastAsia" w:ascii="Cambria Math" w:hAnsi="Cambria Math" w:eastAsia="仿宋_GB2312" w:cs="仿宋_GB2312"/>
                      <w:sz w:val="32"/>
                      <w:szCs w:val="32"/>
                      <w:highlight w:val="none"/>
                      <w:lang w:val="en-US" w:eastAsia="zh-CN"/>
                    </w:rPr>
                  </m:ctrlPr>
                </m:den>
              </m:f>
              <m:ctrlPr>
                <w:rPr>
                  <w:rFonts w:hint="eastAsia" w:ascii="Cambria Math" w:hAnsi="Cambria Math" w:eastAsia="仿宋_GB2312" w:cs="仿宋_GB2312"/>
                  <w:sz w:val="32"/>
                  <w:szCs w:val="32"/>
                  <w:highlight w:val="none"/>
                  <w:lang w:val="en-US" w:eastAsia="zh-CN"/>
                </w:rPr>
              </m:ctrlPr>
            </m:e>
          </m:d>
        </m:oMath>
      </m:oMathPara>
    </w:p>
    <w:p w14:paraId="2480FF4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公式中：</w:t>
      </w:r>
    </w:p>
    <w:p w14:paraId="4FE48F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argPr>
              <m:argSz m:val="-2"/>
            </m:argPr>
            <m:r>
              <m:rPr>
                <m:sty m:val="p"/>
              </m:rPr>
              <w:rPr>
                <w:rFonts w:hint="eastAsia" w:ascii="Cambria Math" w:hAnsi="Cambria Math" w:eastAsia="仿宋_GB2312" w:cs="仿宋_GB2312"/>
                <w:sz w:val="32"/>
                <w:szCs w:val="32"/>
                <w:highlight w:val="none"/>
                <w:lang w:val="en-US" w:eastAsia="zh-CN"/>
              </w:rPr>
              <m:t>非项目业务</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--报告期内，非项目融资业务对应的碳减排量，单位为</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w:t>
      </w:r>
    </w:p>
    <w:p w14:paraId="37E5714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ER</m:t>
            </m:r>
            <m:ctrlPr>
              <w:rPr>
                <w:rFonts w:hint="eastAsia" w:ascii="Cambria Math" w:hAnsi="Cambria Math" w:eastAsia="仿宋_GB2312" w:cs="仿宋_GB2312"/>
                <w:sz w:val="32"/>
                <w:szCs w:val="32"/>
                <w:highlight w:val="none"/>
                <w:lang w:val="en-US"/>
              </w:rPr>
            </m:ctrlPr>
          </m:e>
          <m:sub>
            <m:argPr>
              <m:argSz m:val="-1"/>
            </m:argPr>
            <m:r>
              <m:rPr>
                <m:sty m:val="p"/>
              </m:rPr>
              <w:rPr>
                <w:rFonts w:hint="eastAsia" w:ascii="Cambria Math" w:hAnsi="Cambria Math" w:eastAsia="仿宋_GB2312" w:cs="仿宋_GB2312"/>
                <w:sz w:val="32"/>
                <w:szCs w:val="32"/>
                <w:highlight w:val="none"/>
                <w:lang w:val="en-US" w:eastAsia="zh-CN"/>
              </w:rPr>
              <m:t>主体</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--报告期内，非项目融资业务相关融资主体的碳减排量，单位为</w:t>
      </w:r>
      <m:oMath>
        <m:sSub>
          <m:sSubPr>
            <m:ctrlPr>
              <w:rPr>
                <w:rFonts w:hint="eastAsia" w:ascii="Cambria Math" w:hAnsi="Cambria Math" w:eastAsia="仿宋_GB2312" w:cs="仿宋_GB2312"/>
                <w:sz w:val="32"/>
                <w:szCs w:val="32"/>
                <w:highlight w:val="none"/>
                <w:lang w:val="en-US" w:eastAsia="zh-CN"/>
              </w:rPr>
            </m:ctrlPr>
          </m:sSubPr>
          <m:e>
            <m:r>
              <m:rPr>
                <m:sty m:val="p"/>
              </m:rPr>
              <w:rPr>
                <w:rFonts w:hint="eastAsia" w:ascii="Cambria Math" w:hAnsi="Cambria Math" w:eastAsia="仿宋_GB2312" w:cs="仿宋_GB2312"/>
                <w:sz w:val="32"/>
                <w:szCs w:val="32"/>
                <w:highlight w:val="none"/>
                <w:lang w:val="en-US" w:eastAsia="zh-CN"/>
              </w:rPr>
              <m:t>tCO</m:t>
            </m:r>
            <m:ctrlPr>
              <w:rPr>
                <w:rFonts w:hint="eastAsia" w:ascii="Cambria Math" w:hAnsi="Cambria Math" w:eastAsia="仿宋_GB2312" w:cs="仿宋_GB2312"/>
                <w:sz w:val="32"/>
                <w:szCs w:val="32"/>
                <w:highlight w:val="none"/>
                <w:lang w:val="en-US" w:eastAsia="zh-CN"/>
              </w:rPr>
            </m:ctrlPr>
          </m:e>
          <m:sub>
            <m:r>
              <m:rPr>
                <m:sty m:val="p"/>
              </m:rPr>
              <w:rPr>
                <w:rFonts w:hint="eastAsia" w:ascii="Cambria Math" w:hAnsi="Cambria Math" w:eastAsia="仿宋_GB2312" w:cs="仿宋_GB2312"/>
                <w:sz w:val="32"/>
                <w:szCs w:val="32"/>
                <w:highlight w:val="none"/>
                <w:lang w:val="en-US" w:eastAsia="zh-CN"/>
              </w:rPr>
              <m:t>2</m:t>
            </m:r>
            <m:ctrlPr>
              <w:rPr>
                <w:rFonts w:hint="eastAsia" w:ascii="Cambria Math" w:hAnsi="Cambria Math" w:eastAsia="仿宋_GB2312" w:cs="仿宋_GB2312"/>
                <w:sz w:val="32"/>
                <w:szCs w:val="32"/>
                <w:highlight w:val="none"/>
                <w:lang w:val="en-US" w:eastAsia="zh-CN"/>
              </w:rPr>
            </m:ctrlPr>
          </m:sub>
        </m:sSub>
        <m:r>
          <m:rPr>
            <m:sty m:val="p"/>
          </m:rPr>
          <w:rPr>
            <w:rFonts w:hint="eastAsia" w:ascii="Cambria Math" w:hAnsi="Cambria Math" w:eastAsia="仿宋_GB2312" w:cs="仿宋_GB2312"/>
            <w:sz w:val="32"/>
            <w:szCs w:val="32"/>
            <w:highlight w:val="none"/>
            <w:lang w:val="en-US" w:eastAsia="zh-CN"/>
          </w:rPr>
          <m:t>e</m:t>
        </m:r>
      </m:oMath>
      <w:r>
        <w:rPr>
          <w:rFonts w:hint="eastAsia" w:ascii="仿宋_GB2312" w:hAnsi="仿宋_GB2312" w:eastAsia="仿宋_GB2312" w:cs="仿宋_GB2312"/>
          <w:sz w:val="32"/>
          <w:szCs w:val="32"/>
          <w:highlight w:val="none"/>
          <w:lang w:val="en-US" w:eastAsia="zh-CN"/>
        </w:rPr>
        <w:t>；</w:t>
      </w:r>
    </w:p>
    <w:p w14:paraId="24F67E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argPr>
              <m:argSz m:val="-1"/>
            </m:argPr>
            <m:r>
              <m:rPr>
                <m:sty m:val="p"/>
              </m:rPr>
              <w:rPr>
                <w:rFonts w:hint="eastAsia" w:ascii="Cambria Math" w:hAnsi="Cambria Math" w:eastAsia="仿宋_GB2312" w:cs="仿宋_GB2312"/>
                <w:sz w:val="32"/>
                <w:szCs w:val="32"/>
                <w:highlight w:val="none"/>
                <w:lang w:val="en-US" w:eastAsia="zh-CN"/>
              </w:rPr>
              <m:t>融资</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--报告期内，金融机构对融资主体的月均非项目融资额，单位为万元；</w:t>
      </w:r>
    </w:p>
    <w:p w14:paraId="2B6669D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argPr>
              <m:argSz m:val="-1"/>
            </m:argPr>
            <m:r>
              <m:rPr>
                <m:sty m:val="p"/>
              </m:rPr>
              <w:rPr>
                <w:rFonts w:hint="eastAsia" w:ascii="Cambria Math" w:hAnsi="Cambria Math" w:eastAsia="仿宋_GB2312" w:cs="仿宋_GB2312"/>
                <w:sz w:val="32"/>
                <w:szCs w:val="32"/>
                <w:highlight w:val="none"/>
                <w:lang w:val="en-US" w:eastAsia="zh-CN"/>
              </w:rPr>
              <m:t>收入</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--报告期内，融资主体的主营业务收入，单位为万元。</w:t>
      </w:r>
    </w:p>
    <w:p w14:paraId="0D838B6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当</w:t>
      </w:r>
      <m:oMath>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融资</m:t>
            </m:r>
            <m:ctrlPr>
              <w:rPr>
                <w:rFonts w:hint="eastAsia" w:ascii="Cambria Math" w:hAnsi="Cambria Math" w:eastAsia="仿宋_GB2312" w:cs="仿宋_GB2312"/>
                <w:sz w:val="32"/>
                <w:szCs w:val="32"/>
                <w:highlight w:val="none"/>
                <w:lang w:val="en-US"/>
              </w:rPr>
            </m:ctrlPr>
          </m:sub>
        </m:sSub>
        <m:r>
          <m:rPr>
            <m:sty m:val="p"/>
          </m:rPr>
          <w:rPr>
            <w:rFonts w:hint="eastAsia" w:ascii="Cambria Math" w:hAnsi="Cambria Math" w:eastAsia="仿宋_GB2312" w:cs="仿宋_GB2312"/>
            <w:sz w:val="32"/>
            <w:szCs w:val="32"/>
            <w:highlight w:val="none"/>
            <w:lang w:val="en-US"/>
          </w:rPr>
          <m:t>&gt;</m:t>
        </m:r>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收入</m:t>
            </m:r>
            <m:ctrlPr>
              <w:rPr>
                <w:rFonts w:hint="eastAsia" w:ascii="Cambria Math" w:hAnsi="Cambria Math" w:eastAsia="仿宋_GB2312" w:cs="仿宋_GB2312"/>
                <w:sz w:val="32"/>
                <w:szCs w:val="32"/>
                <w:highlight w:val="none"/>
                <w:lang w:val="en-US"/>
              </w:rPr>
            </m:ctrlPr>
          </m:sub>
        </m:sSub>
      </m:oMath>
      <w:r>
        <w:rPr>
          <w:rFonts w:hint="eastAsia" w:ascii="仿宋_GB2312" w:hAnsi="仿宋_GB2312" w:eastAsia="仿宋_GB2312" w:cs="仿宋_GB2312"/>
          <w:sz w:val="32"/>
          <w:szCs w:val="32"/>
          <w:highlight w:val="none"/>
          <w:lang w:val="en-US" w:eastAsia="zh-CN"/>
        </w:rPr>
        <w:t>时，</w:t>
      </w:r>
      <m:oMath>
        <m:d>
          <m:dPr>
            <m:ctrlPr>
              <w:rPr>
                <w:rFonts w:hint="eastAsia" w:ascii="Cambria Math" w:hAnsi="Cambria Math" w:eastAsia="仿宋_GB2312" w:cs="仿宋_GB2312"/>
                <w:sz w:val="32"/>
                <w:szCs w:val="32"/>
                <w:highlight w:val="none"/>
                <w:lang w:val="en-US"/>
              </w:rPr>
            </m:ctrlPr>
          </m:dPr>
          <m:e>
            <m:f>
              <m:fPr>
                <m:ctrlPr>
                  <w:rPr>
                    <w:rFonts w:hint="eastAsia" w:ascii="Cambria Math" w:hAnsi="Cambria Math" w:eastAsia="仿宋_GB2312" w:cs="仿宋_GB2312"/>
                    <w:sz w:val="32"/>
                    <w:szCs w:val="32"/>
                    <w:highlight w:val="none"/>
                    <w:lang w:val="en-US"/>
                  </w:rPr>
                </m:ctrlPr>
              </m:fPr>
              <m:num>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融资</m:t>
                    </m:r>
                    <m:ctrlPr>
                      <w:rPr>
                        <w:rFonts w:hint="eastAsia" w:ascii="Cambria Math" w:hAnsi="Cambria Math" w:eastAsia="仿宋_GB2312" w:cs="仿宋_GB2312"/>
                        <w:sz w:val="32"/>
                        <w:szCs w:val="32"/>
                        <w:highlight w:val="none"/>
                        <w:lang w:val="en-US"/>
                      </w:rPr>
                    </m:ctrlPr>
                  </m:sub>
                </m:sSub>
                <m:ctrlPr>
                  <w:rPr>
                    <w:rFonts w:hint="eastAsia" w:ascii="Cambria Math" w:hAnsi="Cambria Math" w:eastAsia="仿宋_GB2312" w:cs="仿宋_GB2312"/>
                    <w:sz w:val="32"/>
                    <w:szCs w:val="32"/>
                    <w:highlight w:val="none"/>
                    <w:lang w:val="en-US"/>
                  </w:rPr>
                </m:ctrlPr>
              </m:num>
              <m:den>
                <m:sSub>
                  <m:sSubPr>
                    <m:ctrlPr>
                      <w:rPr>
                        <w:rFonts w:hint="eastAsia" w:ascii="Cambria Math" w:hAnsi="Cambria Math" w:eastAsia="仿宋_GB2312" w:cs="仿宋_GB2312"/>
                        <w:sz w:val="32"/>
                        <w:szCs w:val="32"/>
                        <w:highlight w:val="none"/>
                        <w:lang w:val="en-US"/>
                      </w:rPr>
                    </m:ctrlPr>
                  </m:sSubPr>
                  <m:e>
                    <m:r>
                      <m:rPr>
                        <m:sty m:val="p"/>
                      </m:rPr>
                      <w:rPr>
                        <w:rFonts w:hint="eastAsia" w:ascii="Cambria Math" w:hAnsi="Cambria Math" w:eastAsia="仿宋_GB2312" w:cs="仿宋_GB2312"/>
                        <w:sz w:val="32"/>
                        <w:szCs w:val="32"/>
                        <w:highlight w:val="none"/>
                        <w:lang w:val="en-US" w:eastAsia="zh-CN"/>
                      </w:rPr>
                      <m:t>V</m:t>
                    </m:r>
                    <m:ctrlPr>
                      <w:rPr>
                        <w:rFonts w:hint="eastAsia" w:ascii="Cambria Math" w:hAnsi="Cambria Math" w:eastAsia="仿宋_GB2312" w:cs="仿宋_GB2312"/>
                        <w:sz w:val="32"/>
                        <w:szCs w:val="32"/>
                        <w:highlight w:val="none"/>
                        <w:lang w:val="en-US"/>
                      </w:rPr>
                    </m:ctrlPr>
                  </m:e>
                  <m:sub>
                    <m:r>
                      <m:rPr>
                        <m:sty m:val="p"/>
                      </m:rPr>
                      <w:rPr>
                        <w:rFonts w:hint="eastAsia" w:ascii="Cambria Math" w:hAnsi="Cambria Math" w:eastAsia="仿宋_GB2312" w:cs="仿宋_GB2312"/>
                        <w:sz w:val="32"/>
                        <w:szCs w:val="32"/>
                        <w:highlight w:val="none"/>
                        <w:lang w:val="en-US" w:eastAsia="zh-CN"/>
                      </w:rPr>
                      <m:t>收入</m:t>
                    </m:r>
                    <m:ctrlPr>
                      <w:rPr>
                        <w:rFonts w:hint="eastAsia" w:ascii="Cambria Math" w:hAnsi="Cambria Math" w:eastAsia="仿宋_GB2312" w:cs="仿宋_GB2312"/>
                        <w:sz w:val="32"/>
                        <w:szCs w:val="32"/>
                        <w:highlight w:val="none"/>
                        <w:lang w:val="en-US"/>
                      </w:rPr>
                    </m:ctrlPr>
                  </m:sub>
                </m:sSub>
                <m:ctrlPr>
                  <w:rPr>
                    <w:rFonts w:hint="eastAsia" w:ascii="Cambria Math" w:hAnsi="Cambria Math" w:eastAsia="仿宋_GB2312" w:cs="仿宋_GB2312"/>
                    <w:sz w:val="32"/>
                    <w:szCs w:val="32"/>
                    <w:highlight w:val="none"/>
                    <w:lang w:val="en-US"/>
                  </w:rPr>
                </m:ctrlPr>
              </m:den>
            </m:f>
            <m:ctrlPr>
              <w:rPr>
                <w:rFonts w:hint="eastAsia" w:ascii="Cambria Math" w:hAnsi="Cambria Math" w:eastAsia="仿宋_GB2312" w:cs="仿宋_GB2312"/>
                <w:sz w:val="32"/>
                <w:szCs w:val="32"/>
                <w:highlight w:val="none"/>
                <w:lang w:val="en-US"/>
              </w:rPr>
            </m:ctrlPr>
          </m:e>
        </m:d>
        <m:r>
          <m:rPr>
            <m:sty m:val="p"/>
          </m:rPr>
          <w:rPr>
            <w:rFonts w:hint="eastAsia" w:ascii="Cambria Math" w:hAnsi="Cambria Math" w:eastAsia="仿宋_GB2312" w:cs="仿宋_GB2312"/>
            <w:sz w:val="32"/>
            <w:szCs w:val="32"/>
            <w:highlight w:val="none"/>
            <w:lang w:val="en-US" w:eastAsia="zh-CN"/>
          </w:rPr>
          <m:t>=1</m:t>
        </m:r>
      </m:oMath>
      <w:r>
        <w:rPr>
          <w:rFonts w:hint="eastAsia" w:ascii="仿宋_GB2312" w:hAnsi="仿宋_GB2312" w:eastAsia="仿宋_GB2312" w:cs="仿宋_GB2312"/>
          <w:sz w:val="32"/>
          <w:szCs w:val="32"/>
          <w:highlight w:val="none"/>
          <w:lang w:val="en-US" w:eastAsia="zh-CN"/>
        </w:rPr>
        <w:t>。</w:t>
      </w:r>
    </w:p>
    <w:p w14:paraId="63A8CA7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金融机构非项目融资业务的碳减排量等于全部非项目融资业务对应的碳减排量之和。</w:t>
      </w:r>
    </w:p>
    <w:p w14:paraId="020125EB">
      <w:pPr>
        <w:pStyle w:val="4"/>
        <w:pageBreakBefore w:val="0"/>
        <w:numPr>
          <w:ilvl w:val="0"/>
          <w:numId w:val="0"/>
        </w:numPr>
        <w:kinsoku/>
        <w:wordWrap/>
        <w:overflowPunct/>
        <w:topLinePunct w:val="0"/>
        <w:autoSpaceDE/>
        <w:autoSpaceDN/>
        <w:bidi w:val="0"/>
        <w:adjustRightInd/>
        <w:snapToGrid/>
        <w:spacing w:before="157" w:beforeLines="50" w:after="157" w:afterLines="50" w:line="520" w:lineRule="exact"/>
        <w:jc w:val="center"/>
        <w:textAlignment w:val="auto"/>
        <w:rPr>
          <w:rFonts w:hint="default"/>
          <w:highlight w:val="none"/>
          <w:lang w:val="en-US" w:eastAsia="zh-CN"/>
        </w:rPr>
      </w:pPr>
      <w:bookmarkStart w:id="32" w:name="_Toc18995"/>
      <w:bookmarkStart w:id="33" w:name="_Toc11202"/>
      <w:r>
        <w:rPr>
          <w:rFonts w:hint="eastAsia" w:ascii="黑体" w:hAnsi="黑体" w:eastAsia="黑体" w:cs="黑体"/>
          <w:b w:val="0"/>
          <w:color w:val="000000" w:themeColor="text1"/>
          <w:kern w:val="2"/>
          <w:sz w:val="32"/>
          <w:szCs w:val="22"/>
          <w:highlight w:val="none"/>
          <w:lang w:val="en-US" w:eastAsia="zh-CN" w:bidi="ar-SA"/>
          <w14:textFill>
            <w14:solidFill>
              <w14:schemeClr w14:val="tx1"/>
            </w14:solidFill>
          </w14:textFill>
        </w:rPr>
        <w:t>第八部分 本行</w:t>
      </w:r>
      <w:r>
        <w:rPr>
          <w:rFonts w:hint="default" w:ascii="黑体" w:hAnsi="黑体" w:eastAsia="黑体" w:cs="黑体"/>
          <w:b w:val="0"/>
          <w:color w:val="000000" w:themeColor="text1"/>
          <w:kern w:val="2"/>
          <w:sz w:val="32"/>
          <w:szCs w:val="22"/>
          <w:highlight w:val="none"/>
          <w:lang w:val="en-US" w:eastAsia="zh-CN" w:bidi="ar-SA"/>
          <w14:textFill>
            <w14:solidFill>
              <w14:schemeClr w14:val="tx1"/>
            </w14:solidFill>
          </w14:textFill>
        </w:rPr>
        <w:t>经营活动的环境影响</w:t>
      </w:r>
      <w:bookmarkEnd w:id="32"/>
      <w:bookmarkEnd w:id="33"/>
    </w:p>
    <w:p w14:paraId="2C07CB17">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20" w:lineRule="exact"/>
        <w:ind w:firstLine="640" w:firstLineChars="200"/>
        <w:jc w:val="both"/>
        <w:textAlignment w:val="auto"/>
        <w:rPr>
          <w:rFonts w:hint="eastAsia" w:ascii="黑体" w:hAnsi="黑体" w:eastAsia="黑体" w:cs="黑体"/>
          <w:b w:val="0"/>
          <w:bCs w:val="0"/>
          <w:i w:val="0"/>
          <w:iCs w:val="0"/>
          <w:color w:val="000000" w:themeColor="text1"/>
          <w:kern w:val="2"/>
          <w:sz w:val="24"/>
          <w:szCs w:val="24"/>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highlight w:val="none"/>
          <w:lang w:val="en-US" w:eastAsia="zh-CN"/>
          <w14:textFill>
            <w14:solidFill>
              <w14:schemeClr w14:val="tx1"/>
            </w14:solidFill>
          </w14:textFill>
        </w:rPr>
        <w:t>一、本行经营活动产生的温室气体排放和自然资源消耗</w:t>
      </w:r>
    </w:p>
    <w:p w14:paraId="6BD30E4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（一）基本信息</w:t>
      </w:r>
    </w:p>
    <w:tbl>
      <w:tblPr>
        <w:tblStyle w:val="17"/>
        <w:tblW w:w="8280"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2883"/>
        <w:gridCol w:w="2746"/>
      </w:tblGrid>
      <w:tr w14:paraId="27924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651" w:type="dxa"/>
            <w:vAlign w:val="center"/>
          </w:tcPr>
          <w:p w14:paraId="4A76E1FF">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黑体" w:hAnsi="黑体" w:eastAsia="黑体" w:cs="黑体"/>
                <w:sz w:val="28"/>
                <w:szCs w:val="28"/>
                <w:highlight w:val="none"/>
                <w:vertAlign w:val="baseline"/>
                <w:lang w:val="en-US" w:eastAsia="zh-CN"/>
              </w:rPr>
            </w:pPr>
            <w:r>
              <w:rPr>
                <w:rFonts w:hint="eastAsia" w:ascii="黑体" w:hAnsi="黑体" w:eastAsia="黑体" w:cs="黑体"/>
                <w:sz w:val="28"/>
                <w:szCs w:val="28"/>
                <w:highlight w:val="none"/>
                <w:vertAlign w:val="baseline"/>
                <w:lang w:val="en-US" w:eastAsia="zh-CN"/>
              </w:rPr>
              <w:t>核算年度</w:t>
            </w:r>
          </w:p>
        </w:tc>
        <w:tc>
          <w:tcPr>
            <w:tcW w:w="2883" w:type="dxa"/>
            <w:vAlign w:val="center"/>
          </w:tcPr>
          <w:p w14:paraId="1EA23CAE">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2024</w:t>
            </w:r>
          </w:p>
        </w:tc>
        <w:tc>
          <w:tcPr>
            <w:tcW w:w="2746" w:type="dxa"/>
            <w:vAlign w:val="center"/>
          </w:tcPr>
          <w:p w14:paraId="2B73AE4A">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年</w:t>
            </w:r>
          </w:p>
        </w:tc>
      </w:tr>
      <w:tr w14:paraId="62A4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651" w:type="dxa"/>
            <w:vAlign w:val="center"/>
          </w:tcPr>
          <w:p w14:paraId="0061CBA8">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黑体" w:hAnsi="黑体" w:eastAsia="黑体" w:cs="黑体"/>
                <w:sz w:val="28"/>
                <w:szCs w:val="28"/>
                <w:highlight w:val="none"/>
                <w:vertAlign w:val="baseline"/>
                <w:lang w:val="en-US" w:eastAsia="zh-CN"/>
              </w:rPr>
            </w:pPr>
            <w:r>
              <w:rPr>
                <w:rFonts w:hint="eastAsia" w:ascii="黑体" w:hAnsi="黑体" w:eastAsia="黑体" w:cs="黑体"/>
                <w:sz w:val="28"/>
                <w:szCs w:val="28"/>
                <w:highlight w:val="none"/>
                <w:vertAlign w:val="baseline"/>
                <w:lang w:val="en-US" w:eastAsia="zh-CN"/>
              </w:rPr>
              <w:t>员工人数</w:t>
            </w:r>
          </w:p>
        </w:tc>
        <w:tc>
          <w:tcPr>
            <w:tcW w:w="2883" w:type="dxa"/>
            <w:vAlign w:val="center"/>
          </w:tcPr>
          <w:p w14:paraId="3C584EAB">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822</w:t>
            </w:r>
          </w:p>
        </w:tc>
        <w:tc>
          <w:tcPr>
            <w:tcW w:w="2746" w:type="dxa"/>
            <w:vAlign w:val="center"/>
          </w:tcPr>
          <w:p w14:paraId="1FF94E08">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人</w:t>
            </w:r>
          </w:p>
        </w:tc>
      </w:tr>
      <w:tr w14:paraId="08FF9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651" w:type="dxa"/>
            <w:vAlign w:val="center"/>
          </w:tcPr>
          <w:p w14:paraId="542D86DE">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黑体" w:hAnsi="黑体" w:eastAsia="黑体" w:cs="黑体"/>
                <w:sz w:val="28"/>
                <w:szCs w:val="28"/>
                <w:highlight w:val="none"/>
                <w:vertAlign w:val="baseline"/>
                <w:lang w:val="en-US" w:eastAsia="zh-CN"/>
              </w:rPr>
            </w:pPr>
            <w:r>
              <w:rPr>
                <w:rFonts w:hint="eastAsia" w:ascii="黑体" w:hAnsi="黑体" w:eastAsia="黑体" w:cs="黑体"/>
                <w:sz w:val="28"/>
                <w:szCs w:val="28"/>
                <w:highlight w:val="none"/>
                <w:vertAlign w:val="baseline"/>
                <w:lang w:val="en-US" w:eastAsia="zh-CN"/>
              </w:rPr>
              <w:t>建筑面积</w:t>
            </w:r>
          </w:p>
        </w:tc>
        <w:tc>
          <w:tcPr>
            <w:tcW w:w="2883" w:type="dxa"/>
            <w:vAlign w:val="center"/>
          </w:tcPr>
          <w:p w14:paraId="4BA4BCBE">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60000</w:t>
            </w:r>
          </w:p>
        </w:tc>
        <w:tc>
          <w:tcPr>
            <w:tcW w:w="2746" w:type="dxa"/>
            <w:vAlign w:val="center"/>
          </w:tcPr>
          <w:p w14:paraId="29ECC613">
            <w:pPr>
              <w:pStyle w:val="7"/>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平方米</w:t>
            </w:r>
          </w:p>
        </w:tc>
      </w:tr>
    </w:tbl>
    <w:p w14:paraId="62B76FF0">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highlight w:val="none"/>
          <w:lang w:val="en-US" w:eastAsia="zh-CN"/>
        </w:rPr>
      </w:pPr>
      <w:r>
        <w:rPr>
          <w:rFonts w:hint="eastAsia" w:ascii="仿宋_GB2312" w:hAnsi="仿宋_GB2312" w:eastAsia="仿宋_GB2312" w:cs="仿宋_GB2312"/>
          <w:color w:val="000000" w:themeColor="text1"/>
          <w:kern w:val="2"/>
          <w:sz w:val="32"/>
          <w:szCs w:val="22"/>
          <w:highlight w:val="none"/>
          <w:lang w:val="en-US" w:eastAsia="zh-CN" w:bidi="ar-SA"/>
          <w14:textFill>
            <w14:solidFill>
              <w14:schemeClr w14:val="tx1"/>
            </w14:solidFill>
          </w14:textFill>
        </w:rPr>
        <w:t>（二）范围1—金融机构运营碳直接排放</w:t>
      </w:r>
    </w:p>
    <w:tbl>
      <w:tblPr>
        <w:tblStyle w:val="16"/>
        <w:tblW w:w="8289" w:type="dxa"/>
        <w:tblInd w:w="96" w:type="dxa"/>
        <w:tblBorders>
          <w:top w:val="single" w:color="auto" w:sz="4"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15"/>
        <w:gridCol w:w="1771"/>
        <w:gridCol w:w="1668"/>
        <w:gridCol w:w="2235"/>
      </w:tblGrid>
      <w:tr w14:paraId="7520B614">
        <w:tblPrEx>
          <w:tblBorders>
            <w:top w:val="single" w:color="auto"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 w:hRule="atLeast"/>
        </w:trPr>
        <w:tc>
          <w:tcPr>
            <w:tcW w:w="2615" w:type="dxa"/>
            <w:tcBorders>
              <w:left w:val="single" w:color="000000" w:sz="4" w:space="0"/>
              <w:bottom w:val="single" w:color="000000" w:sz="4" w:space="0"/>
              <w:right w:val="single" w:color="000000" w:sz="4" w:space="0"/>
            </w:tcBorders>
            <w:shd w:val="clear" w:color="auto" w:fill="auto"/>
            <w:noWrap/>
            <w:vAlign w:val="center"/>
          </w:tcPr>
          <w:p w14:paraId="169F9BAA">
            <w:pPr>
              <w:pStyle w:val="21"/>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化石燃料种类</w:t>
            </w:r>
          </w:p>
        </w:tc>
        <w:tc>
          <w:tcPr>
            <w:tcW w:w="3439" w:type="dxa"/>
            <w:gridSpan w:val="2"/>
            <w:tcBorders>
              <w:left w:val="single" w:color="000000" w:sz="4" w:space="0"/>
              <w:bottom w:val="single" w:color="000000" w:sz="4" w:space="0"/>
              <w:right w:val="single" w:color="000000" w:sz="4" w:space="0"/>
            </w:tcBorders>
            <w:shd w:val="clear" w:color="auto" w:fill="auto"/>
            <w:noWrap/>
            <w:vAlign w:val="center"/>
          </w:tcPr>
          <w:p w14:paraId="1F2D5FFE">
            <w:pPr>
              <w:pStyle w:val="21"/>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活动水平数据</w:t>
            </w:r>
          </w:p>
        </w:tc>
        <w:tc>
          <w:tcPr>
            <w:tcW w:w="2235" w:type="dxa"/>
            <w:tcBorders>
              <w:left w:val="single" w:color="000000" w:sz="4" w:space="0"/>
              <w:bottom w:val="single" w:color="000000" w:sz="4" w:space="0"/>
              <w:right w:val="single" w:color="000000" w:sz="4" w:space="0"/>
            </w:tcBorders>
            <w:shd w:val="clear" w:color="auto" w:fill="auto"/>
            <w:noWrap/>
            <w:vAlign w:val="center"/>
          </w:tcPr>
          <w:p w14:paraId="7A1A0B6F">
            <w:pPr>
              <w:pStyle w:val="2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二氧化碳排放量（吨二氧化碳）</w:t>
            </w:r>
          </w:p>
        </w:tc>
      </w:tr>
      <w:tr w14:paraId="519D3187">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2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C7E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汽油</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A5C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65</w:t>
            </w:r>
          </w:p>
        </w:tc>
        <w:tc>
          <w:tcPr>
            <w:tcW w:w="1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AC82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吨</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CC89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197.77</w:t>
            </w:r>
          </w:p>
        </w:tc>
      </w:tr>
      <w:tr w14:paraId="7448737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2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E7A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柴油</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8E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c>
          <w:tcPr>
            <w:tcW w:w="1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63B3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吨</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801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0.00</w:t>
            </w:r>
          </w:p>
        </w:tc>
      </w:tr>
      <w:tr w14:paraId="1EF3534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2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34BE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液化天然气</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43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c>
          <w:tcPr>
            <w:tcW w:w="1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58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吨</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F0F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r>
      <w:tr w14:paraId="4C12C56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2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059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天然气</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C5D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0.1</w:t>
            </w:r>
          </w:p>
        </w:tc>
        <w:tc>
          <w:tcPr>
            <w:tcW w:w="1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92A2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万立方米</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509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2.16</w:t>
            </w:r>
          </w:p>
        </w:tc>
      </w:tr>
      <w:tr w14:paraId="60AE46B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2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A20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液化石油气</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226B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c>
          <w:tcPr>
            <w:tcW w:w="1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D1CD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万立方米</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F87C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0.00</w:t>
            </w:r>
          </w:p>
        </w:tc>
      </w:tr>
    </w:tbl>
    <w:p w14:paraId="3E5F6266">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highlight w:val="none"/>
          <w:lang w:val="en-US" w:eastAsia="zh-CN"/>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（三）范围2—</w:t>
      </w:r>
      <w:r>
        <w:rPr>
          <w:rFonts w:hint="eastAsia" w:ascii="仿宋_GB2312" w:hAnsi="仿宋_GB2312" w:eastAsia="仿宋_GB2312" w:cs="仿宋_GB2312"/>
          <w:color w:val="000000" w:themeColor="text1"/>
          <w:kern w:val="2"/>
          <w:sz w:val="32"/>
          <w:szCs w:val="22"/>
          <w:highlight w:val="none"/>
          <w:lang w:val="en-US" w:eastAsia="zh-CN" w:bidi="ar-SA"/>
          <w14:textFill>
            <w14:solidFill>
              <w14:schemeClr w14:val="tx1"/>
            </w14:solidFill>
          </w14:textFill>
        </w:rPr>
        <w:t>金融机构运营碳间接排放</w:t>
      </w:r>
    </w:p>
    <w:tbl>
      <w:tblPr>
        <w:tblStyle w:val="17"/>
        <w:tblW w:w="839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0"/>
        <w:gridCol w:w="2385"/>
        <w:gridCol w:w="1779"/>
        <w:gridCol w:w="2243"/>
      </w:tblGrid>
      <w:tr w14:paraId="6FB39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990" w:type="dxa"/>
            <w:vAlign w:val="center"/>
          </w:tcPr>
          <w:p w14:paraId="4F500C42">
            <w:pPr>
              <w:pStyle w:val="7"/>
              <w:spacing w:line="240" w:lineRule="auto"/>
              <w:ind w:firstLine="0" w:firstLineChars="0"/>
              <w:jc w:val="center"/>
              <w:rPr>
                <w:rFonts w:hint="default" w:ascii="黑体" w:hAnsi="黑体" w:eastAsia="黑体" w:cs="黑体"/>
                <w:sz w:val="24"/>
                <w:szCs w:val="24"/>
                <w:highlight w:val="none"/>
                <w:vertAlign w:val="baseline"/>
                <w:lang w:val="en-US" w:eastAsia="zh-CN"/>
              </w:rPr>
            </w:pPr>
            <w:r>
              <w:rPr>
                <w:rFonts w:hint="eastAsia" w:ascii="黑体" w:hAnsi="黑体" w:eastAsia="黑体" w:cs="黑体"/>
                <w:b w:val="0"/>
                <w:bCs w:val="0"/>
                <w:sz w:val="24"/>
                <w:szCs w:val="24"/>
                <w:highlight w:val="none"/>
                <w:lang w:val="en-US" w:eastAsia="zh-CN"/>
              </w:rPr>
              <w:t>排放源</w:t>
            </w:r>
          </w:p>
        </w:tc>
        <w:tc>
          <w:tcPr>
            <w:tcW w:w="2385" w:type="dxa"/>
            <w:vAlign w:val="center"/>
          </w:tcPr>
          <w:p w14:paraId="6DE7C118">
            <w:pPr>
              <w:pStyle w:val="7"/>
              <w:spacing w:line="240" w:lineRule="auto"/>
              <w:ind w:left="0" w:leftChars="0" w:firstLine="0" w:firstLineChars="0"/>
              <w:jc w:val="center"/>
              <w:rPr>
                <w:rFonts w:hint="default" w:ascii="仿宋_GB2312" w:hAnsi="仿宋_GB2312" w:eastAsia="仿宋_GB2312" w:cs="仿宋_GB2312"/>
                <w:b w:val="0"/>
                <w:bCs w:val="0"/>
                <w:sz w:val="24"/>
                <w:szCs w:val="24"/>
                <w:highlight w:val="none"/>
                <w:vertAlign w:val="baseline"/>
                <w:lang w:val="en-US" w:eastAsia="zh-CN"/>
              </w:rPr>
            </w:pPr>
            <w:r>
              <w:rPr>
                <w:rFonts w:hint="eastAsia" w:ascii="黑体" w:hAnsi="黑体" w:eastAsia="黑体" w:cs="黑体"/>
                <w:b w:val="0"/>
                <w:bCs w:val="0"/>
                <w:kern w:val="2"/>
                <w:sz w:val="24"/>
                <w:szCs w:val="24"/>
                <w:highlight w:val="none"/>
                <w:lang w:val="en-US" w:eastAsia="zh-CN" w:bidi="ar-SA"/>
              </w:rPr>
              <w:t>活动水平数据</w:t>
            </w:r>
          </w:p>
        </w:tc>
        <w:tc>
          <w:tcPr>
            <w:tcW w:w="1779" w:type="dxa"/>
            <w:vAlign w:val="center"/>
          </w:tcPr>
          <w:p w14:paraId="5183FCF8">
            <w:pPr>
              <w:pStyle w:val="7"/>
              <w:spacing w:line="240" w:lineRule="auto"/>
              <w:ind w:left="0" w:leftChars="0" w:firstLine="0" w:firstLineChars="0"/>
              <w:jc w:val="center"/>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单位</w:t>
            </w:r>
          </w:p>
        </w:tc>
        <w:tc>
          <w:tcPr>
            <w:tcW w:w="2243" w:type="dxa"/>
          </w:tcPr>
          <w:p w14:paraId="7A3F24F1">
            <w:pPr>
              <w:pStyle w:val="7"/>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仿宋_GB2312" w:hAnsi="仿宋_GB2312" w:eastAsia="仿宋_GB2312" w:cs="仿宋_GB2312"/>
                <w:b w:val="0"/>
                <w:bCs w:val="0"/>
                <w:sz w:val="24"/>
                <w:szCs w:val="24"/>
                <w:highlight w:val="none"/>
                <w:vertAlign w:val="baseline"/>
                <w:lang w:val="en-US" w:eastAsia="zh-CN"/>
              </w:rPr>
            </w:pPr>
            <w:r>
              <w:rPr>
                <w:rFonts w:hint="eastAsia" w:ascii="黑体" w:hAnsi="黑体" w:eastAsia="黑体" w:cs="黑体"/>
                <w:b w:val="0"/>
                <w:bCs w:val="0"/>
                <w:sz w:val="24"/>
                <w:szCs w:val="24"/>
                <w:highlight w:val="none"/>
                <w:lang w:val="en-US" w:eastAsia="zh-CN"/>
              </w:rPr>
              <w:t>二氧化碳排放量（吨二氧化碳）</w:t>
            </w:r>
          </w:p>
        </w:tc>
      </w:tr>
      <w:tr w14:paraId="275D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0" w:type="dxa"/>
          </w:tcPr>
          <w:p w14:paraId="36C5E7C6">
            <w:pPr>
              <w:pStyle w:val="7"/>
              <w:spacing w:line="240" w:lineRule="auto"/>
              <w:ind w:firstLine="0" w:firstLineChars="0"/>
              <w:jc w:val="center"/>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净购入电力</w:t>
            </w:r>
          </w:p>
        </w:tc>
        <w:tc>
          <w:tcPr>
            <w:tcW w:w="2385" w:type="dxa"/>
          </w:tcPr>
          <w:p w14:paraId="2F216D4E">
            <w:pPr>
              <w:pStyle w:val="7"/>
              <w:spacing w:line="240" w:lineRule="auto"/>
              <w:ind w:firstLine="0" w:firstLineChars="0"/>
              <w:jc w:val="center"/>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4712</w:t>
            </w:r>
          </w:p>
        </w:tc>
        <w:tc>
          <w:tcPr>
            <w:tcW w:w="1779" w:type="dxa"/>
          </w:tcPr>
          <w:p w14:paraId="7644AEAE">
            <w:pPr>
              <w:pStyle w:val="7"/>
              <w:spacing w:line="240" w:lineRule="auto"/>
              <w:ind w:firstLine="0" w:firstLineChars="0"/>
              <w:jc w:val="center"/>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兆瓦时</w:t>
            </w:r>
          </w:p>
        </w:tc>
        <w:tc>
          <w:tcPr>
            <w:tcW w:w="2243" w:type="dxa"/>
          </w:tcPr>
          <w:p w14:paraId="12195199">
            <w:pPr>
              <w:pStyle w:val="7"/>
              <w:spacing w:line="240" w:lineRule="auto"/>
              <w:ind w:firstLine="0" w:firstLineChars="0"/>
              <w:jc w:val="center"/>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2687.25</w:t>
            </w:r>
          </w:p>
        </w:tc>
      </w:tr>
      <w:tr w14:paraId="60201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0" w:type="dxa"/>
          </w:tcPr>
          <w:p w14:paraId="56631DAF">
            <w:pPr>
              <w:pStyle w:val="7"/>
              <w:spacing w:line="240" w:lineRule="auto"/>
              <w:ind w:firstLine="0" w:firstLineChars="0"/>
              <w:jc w:val="center"/>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净购入热力</w:t>
            </w:r>
          </w:p>
        </w:tc>
        <w:tc>
          <w:tcPr>
            <w:tcW w:w="2385" w:type="dxa"/>
          </w:tcPr>
          <w:p w14:paraId="74C2F334">
            <w:pPr>
              <w:pStyle w:val="7"/>
              <w:spacing w:line="240" w:lineRule="auto"/>
              <w:ind w:firstLine="0" w:firstLineChars="0"/>
              <w:jc w:val="center"/>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0</w:t>
            </w:r>
          </w:p>
        </w:tc>
        <w:tc>
          <w:tcPr>
            <w:tcW w:w="1779" w:type="dxa"/>
          </w:tcPr>
          <w:p w14:paraId="6FAF2753">
            <w:pPr>
              <w:pStyle w:val="7"/>
              <w:spacing w:line="240" w:lineRule="auto"/>
              <w:ind w:firstLine="0" w:firstLineChars="0"/>
              <w:jc w:val="center"/>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吉焦</w:t>
            </w:r>
          </w:p>
        </w:tc>
        <w:tc>
          <w:tcPr>
            <w:tcW w:w="2243" w:type="dxa"/>
          </w:tcPr>
          <w:p w14:paraId="6BC29976">
            <w:pPr>
              <w:pStyle w:val="7"/>
              <w:spacing w:line="240" w:lineRule="auto"/>
              <w:ind w:firstLine="0" w:firstLineChars="0"/>
              <w:jc w:val="center"/>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0</w:t>
            </w:r>
          </w:p>
        </w:tc>
      </w:tr>
    </w:tbl>
    <w:p w14:paraId="797273B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（四）范围3—其他碳间接排放</w:t>
      </w:r>
    </w:p>
    <w:tbl>
      <w:tblPr>
        <w:tblStyle w:val="16"/>
        <w:tblW w:w="84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550"/>
        <w:gridCol w:w="1550"/>
        <w:gridCol w:w="1330"/>
        <w:gridCol w:w="1110"/>
        <w:gridCol w:w="2903"/>
      </w:tblGrid>
      <w:tr w14:paraId="07804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96" w:hRule="atLeast"/>
        </w:trPr>
        <w:tc>
          <w:tcPr>
            <w:tcW w:w="310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3F25ADA">
            <w:pPr>
              <w:keepNext w:val="0"/>
              <w:keepLines w:val="0"/>
              <w:widowControl/>
              <w:suppressLineNumbers w:val="0"/>
              <w:spacing w:line="240" w:lineRule="auto"/>
              <w:ind w:firstLine="0" w:firstLineChars="0"/>
              <w:jc w:val="center"/>
              <w:textAlignment w:val="center"/>
              <w:rPr>
                <w:rFonts w:hint="eastAsia" w:ascii="黑体" w:hAnsi="黑体" w:eastAsia="黑体" w:cs="黑体"/>
                <w:b w:val="0"/>
                <w:bCs w:val="0"/>
                <w:kern w:val="2"/>
                <w:sz w:val="24"/>
                <w:szCs w:val="24"/>
                <w:highlight w:val="none"/>
                <w:lang w:val="en-US" w:eastAsia="zh-CN" w:bidi="ar-SA"/>
              </w:rPr>
            </w:pPr>
            <w:r>
              <w:rPr>
                <w:rFonts w:hint="eastAsia" w:ascii="黑体" w:hAnsi="黑体" w:eastAsia="黑体" w:cs="黑体"/>
                <w:b w:val="0"/>
                <w:bCs w:val="0"/>
                <w:kern w:val="2"/>
                <w:sz w:val="24"/>
                <w:szCs w:val="24"/>
                <w:highlight w:val="none"/>
                <w:lang w:val="en-US" w:eastAsia="zh-CN" w:bidi="ar-SA"/>
              </w:rPr>
              <w:t>排放源</w:t>
            </w:r>
          </w:p>
        </w:tc>
        <w:tc>
          <w:tcPr>
            <w:tcW w:w="2440" w:type="dxa"/>
            <w:gridSpan w:val="2"/>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16DF655E">
            <w:pPr>
              <w:keepNext w:val="0"/>
              <w:keepLines w:val="0"/>
              <w:widowControl/>
              <w:suppressLineNumbers w:val="0"/>
              <w:spacing w:line="240" w:lineRule="auto"/>
              <w:ind w:firstLine="0" w:firstLineChars="0"/>
              <w:jc w:val="center"/>
              <w:textAlignment w:val="center"/>
              <w:rPr>
                <w:rFonts w:hint="eastAsia" w:ascii="黑体" w:hAnsi="黑体" w:eastAsia="黑体" w:cs="黑体"/>
                <w:b w:val="0"/>
                <w:bCs w:val="0"/>
                <w:kern w:val="2"/>
                <w:sz w:val="24"/>
                <w:szCs w:val="24"/>
                <w:highlight w:val="none"/>
                <w:lang w:val="en-US" w:eastAsia="zh-CN" w:bidi="ar-SA"/>
              </w:rPr>
            </w:pPr>
            <w:r>
              <w:rPr>
                <w:rFonts w:hint="eastAsia" w:ascii="黑体" w:hAnsi="黑体" w:eastAsia="黑体" w:cs="黑体"/>
                <w:b w:val="0"/>
                <w:bCs w:val="0"/>
                <w:kern w:val="2"/>
                <w:sz w:val="24"/>
                <w:szCs w:val="24"/>
                <w:highlight w:val="none"/>
                <w:lang w:val="en-US" w:eastAsia="zh-CN" w:bidi="ar-SA"/>
              </w:rPr>
              <w:t>活动水平数据</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1768784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b w:val="0"/>
                <w:bCs w:val="0"/>
                <w:kern w:val="2"/>
                <w:sz w:val="24"/>
                <w:szCs w:val="24"/>
                <w:highlight w:val="none"/>
                <w:lang w:val="en-US" w:eastAsia="zh-CN" w:bidi="ar-SA"/>
              </w:rPr>
            </w:pPr>
            <w:r>
              <w:rPr>
                <w:rFonts w:hint="eastAsia" w:ascii="黑体" w:hAnsi="黑体" w:eastAsia="黑体" w:cs="黑体"/>
                <w:b w:val="0"/>
                <w:bCs w:val="0"/>
                <w:kern w:val="2"/>
                <w:sz w:val="24"/>
                <w:szCs w:val="24"/>
                <w:highlight w:val="none"/>
                <w:lang w:val="en-US" w:eastAsia="zh-CN" w:bidi="ar-SA"/>
              </w:rPr>
              <w:t>二氧化碳排放量</w:t>
            </w:r>
          </w:p>
          <w:p w14:paraId="51BA256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b w:val="0"/>
                <w:bCs w:val="0"/>
                <w:kern w:val="2"/>
                <w:sz w:val="24"/>
                <w:szCs w:val="24"/>
                <w:highlight w:val="none"/>
                <w:lang w:val="en-US" w:eastAsia="zh-CN" w:bidi="ar-SA"/>
              </w:rPr>
            </w:pPr>
            <w:r>
              <w:rPr>
                <w:rFonts w:hint="eastAsia" w:ascii="黑体" w:hAnsi="黑体" w:eastAsia="黑体" w:cs="黑体"/>
                <w:b w:val="0"/>
                <w:bCs w:val="0"/>
                <w:kern w:val="2"/>
                <w:sz w:val="24"/>
                <w:szCs w:val="24"/>
                <w:highlight w:val="none"/>
                <w:lang w:val="en-US" w:eastAsia="zh-CN" w:bidi="ar-SA"/>
              </w:rPr>
              <w:t>（吨二氧化碳）</w:t>
            </w:r>
          </w:p>
        </w:tc>
      </w:tr>
      <w:tr w14:paraId="4FBEA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310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4D959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纸张使用</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042B900A">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50000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42B642B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千克</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6C79C660">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7</w:t>
            </w:r>
          </w:p>
        </w:tc>
      </w:tr>
      <w:tr w14:paraId="3E95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EBC65F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员工差旅</w:t>
            </w: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05C144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飞机</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2F514452">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110000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4B54CF0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公里</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3BBA1DE0">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9.68</w:t>
            </w:r>
          </w:p>
        </w:tc>
      </w:tr>
      <w:tr w14:paraId="55C0E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007A7C4">
            <w:pPr>
              <w:spacing w:line="240" w:lineRule="auto"/>
              <w:ind w:firstLine="0" w:firstLineChars="0"/>
              <w:jc w:val="center"/>
              <w:rPr>
                <w:rFonts w:hint="eastAsia" w:ascii="仿宋_GB2312" w:hAnsi="仿宋_GB2312" w:eastAsia="仿宋_GB2312" w:cs="仿宋_GB2312"/>
                <w:i w:val="0"/>
                <w:color w:val="000000"/>
                <w:sz w:val="22"/>
                <w:szCs w:val="22"/>
                <w:highlight w:val="none"/>
                <w:u w:val="none"/>
              </w:rPr>
            </w:pP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58661D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高铁</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61874195">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800000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79E82D8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公里</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69413272">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20.8</w:t>
            </w:r>
          </w:p>
        </w:tc>
      </w:tr>
      <w:tr w14:paraId="18093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20EF61">
            <w:pPr>
              <w:spacing w:line="240" w:lineRule="auto"/>
              <w:ind w:firstLine="0" w:firstLineChars="0"/>
              <w:jc w:val="center"/>
              <w:rPr>
                <w:rFonts w:hint="eastAsia" w:ascii="仿宋_GB2312" w:hAnsi="仿宋_GB2312" w:eastAsia="仿宋_GB2312" w:cs="仿宋_GB2312"/>
                <w:i w:val="0"/>
                <w:color w:val="000000"/>
                <w:sz w:val="22"/>
                <w:szCs w:val="22"/>
                <w:highlight w:val="none"/>
                <w:u w:val="none"/>
              </w:rPr>
            </w:pP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F934F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道路交通</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1B789F1C">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750000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7B72AB3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公里</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0E3CA72F">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21</w:t>
            </w:r>
          </w:p>
        </w:tc>
      </w:tr>
      <w:tr w14:paraId="11CA0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C78B22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外包运输</w:t>
            </w: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99D851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汽油</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2D1A92B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605D731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吨</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0ADC701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0.00</w:t>
            </w:r>
          </w:p>
        </w:tc>
      </w:tr>
      <w:tr w14:paraId="46214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965664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垃圾处理</w:t>
            </w: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3F69D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厨余垃圾</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3E4BC54E">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105</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6D7ABED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吨</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024100C0">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0.47</w:t>
            </w:r>
          </w:p>
        </w:tc>
      </w:tr>
      <w:tr w14:paraId="0E146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992648">
            <w:pPr>
              <w:spacing w:line="240" w:lineRule="auto"/>
              <w:ind w:firstLine="0" w:firstLineChars="0"/>
              <w:jc w:val="center"/>
              <w:rPr>
                <w:rFonts w:hint="eastAsia" w:ascii="仿宋_GB2312" w:hAnsi="仿宋_GB2312" w:eastAsia="仿宋_GB2312" w:cs="仿宋_GB2312"/>
                <w:i w:val="0"/>
                <w:color w:val="000000"/>
                <w:sz w:val="22"/>
                <w:szCs w:val="22"/>
                <w:highlight w:val="none"/>
                <w:u w:val="none"/>
              </w:rPr>
            </w:pPr>
          </w:p>
        </w:tc>
        <w:tc>
          <w:tcPr>
            <w:tcW w:w="15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FAEEC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其他垃圾</w:t>
            </w:r>
          </w:p>
        </w:tc>
        <w:tc>
          <w:tcPr>
            <w:tcW w:w="133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2631140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10</w:t>
            </w:r>
          </w:p>
        </w:tc>
        <w:tc>
          <w:tcPr>
            <w:tcW w:w="1110"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2D275D2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sz w:val="22"/>
                <w:szCs w:val="22"/>
                <w:highlight w:val="none"/>
                <w:u w:val="none"/>
              </w:rPr>
            </w:pPr>
            <w:r>
              <w:rPr>
                <w:rFonts w:hint="eastAsia" w:ascii="仿宋_GB2312" w:hAnsi="仿宋_GB2312" w:eastAsia="仿宋_GB2312" w:cs="仿宋_GB2312"/>
                <w:i w:val="0"/>
                <w:color w:val="000000"/>
                <w:kern w:val="0"/>
                <w:sz w:val="22"/>
                <w:szCs w:val="22"/>
                <w:highlight w:val="none"/>
                <w:u w:val="none"/>
                <w:lang w:val="en-US" w:eastAsia="zh-CN" w:bidi="ar"/>
              </w:rPr>
              <w:t>吨</w:t>
            </w:r>
          </w:p>
        </w:tc>
        <w:tc>
          <w:tcPr>
            <w:tcW w:w="2903" w:type="dxa"/>
            <w:tcBorders>
              <w:top w:val="single" w:color="auto" w:sz="4" w:space="0"/>
              <w:left w:val="single" w:color="auto" w:sz="4" w:space="0"/>
              <w:bottom w:val="single" w:color="auto" w:sz="4" w:space="0"/>
              <w:right w:val="single" w:color="auto" w:sz="4" w:space="0"/>
            </w:tcBorders>
            <w:shd w:val="clear" w:color="FFFFFF" w:themeColor="background1" w:fill="auto"/>
            <w:noWrap/>
            <w:tcMar>
              <w:top w:w="15" w:type="dxa"/>
              <w:left w:w="15" w:type="dxa"/>
              <w:right w:w="15" w:type="dxa"/>
            </w:tcMar>
            <w:vAlign w:val="center"/>
          </w:tcPr>
          <w:p w14:paraId="540D79C7">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i w:val="0"/>
                <w:color w:val="000000"/>
                <w:sz w:val="22"/>
                <w:szCs w:val="22"/>
                <w:highlight w:val="none"/>
                <w:u w:val="none"/>
                <w:lang w:val="en-US"/>
              </w:rPr>
            </w:pPr>
            <w:r>
              <w:rPr>
                <w:rFonts w:hint="eastAsia" w:ascii="仿宋_GB2312" w:hAnsi="仿宋_GB2312" w:eastAsia="仿宋_GB2312" w:cs="仿宋_GB2312"/>
                <w:i w:val="0"/>
                <w:color w:val="000000"/>
                <w:kern w:val="0"/>
                <w:sz w:val="22"/>
                <w:szCs w:val="22"/>
                <w:highlight w:val="none"/>
                <w:u w:val="none"/>
                <w:lang w:val="en-US" w:eastAsia="zh-CN" w:bidi="ar"/>
              </w:rPr>
              <w:t>3.53</w:t>
            </w:r>
          </w:p>
        </w:tc>
      </w:tr>
    </w:tbl>
    <w:p w14:paraId="23EA6BE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（五）金融机构自身运营二氧化碳排放</w:t>
      </w:r>
    </w:p>
    <w:tbl>
      <w:tblPr>
        <w:tblStyle w:val="16"/>
        <w:tblW w:w="84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079"/>
        <w:gridCol w:w="2377"/>
        <w:gridCol w:w="981"/>
      </w:tblGrid>
      <w:tr w14:paraId="6900D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C53D8">
            <w:pPr>
              <w:keepNext w:val="0"/>
              <w:keepLines w:val="0"/>
              <w:widowControl/>
              <w:suppressLineNumbers w:val="0"/>
              <w:spacing w:line="240" w:lineRule="auto"/>
              <w:ind w:firstLine="0" w:firstLineChars="0"/>
              <w:jc w:val="center"/>
              <w:textAlignment w:val="center"/>
              <w:rPr>
                <w:rFonts w:hint="eastAsia" w:ascii="黑体" w:hAnsi="黑体" w:eastAsia="黑体" w:cs="黑体"/>
                <w:b w:val="0"/>
                <w:bCs/>
                <w:i w:val="0"/>
                <w:color w:val="000000"/>
                <w:sz w:val="24"/>
                <w:szCs w:val="24"/>
                <w:highlight w:val="none"/>
                <w:u w:val="none"/>
              </w:rPr>
            </w:pPr>
            <w:r>
              <w:rPr>
                <w:rFonts w:hint="eastAsia" w:ascii="黑体" w:hAnsi="黑体" w:eastAsia="黑体" w:cs="黑体"/>
                <w:b w:val="0"/>
                <w:bCs/>
                <w:i w:val="0"/>
                <w:color w:val="000000"/>
                <w:kern w:val="0"/>
                <w:sz w:val="24"/>
                <w:szCs w:val="24"/>
                <w:highlight w:val="none"/>
                <w:u w:val="none"/>
                <w:lang w:val="en-US" w:eastAsia="zh-CN" w:bidi="ar"/>
              </w:rPr>
              <w:t>排放方式/指标</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1C2E2">
            <w:pPr>
              <w:keepNext w:val="0"/>
              <w:keepLines w:val="0"/>
              <w:widowControl/>
              <w:suppressLineNumbers w:val="0"/>
              <w:spacing w:line="240" w:lineRule="auto"/>
              <w:ind w:firstLine="0" w:firstLineChars="0"/>
              <w:jc w:val="center"/>
              <w:textAlignment w:val="center"/>
              <w:rPr>
                <w:rFonts w:hint="eastAsia" w:ascii="黑体" w:hAnsi="黑体" w:eastAsia="黑体" w:cs="黑体"/>
                <w:b w:val="0"/>
                <w:bCs/>
                <w:i w:val="0"/>
                <w:color w:val="000000"/>
                <w:sz w:val="24"/>
                <w:szCs w:val="24"/>
                <w:highlight w:val="none"/>
                <w:u w:val="none"/>
              </w:rPr>
            </w:pPr>
            <w:r>
              <w:rPr>
                <w:rFonts w:hint="eastAsia" w:ascii="黑体" w:hAnsi="黑体" w:eastAsia="黑体" w:cs="黑体"/>
                <w:b w:val="0"/>
                <w:bCs/>
                <w:i w:val="0"/>
                <w:color w:val="000000"/>
                <w:kern w:val="0"/>
                <w:sz w:val="24"/>
                <w:szCs w:val="24"/>
                <w:highlight w:val="none"/>
                <w:u w:val="none"/>
                <w:lang w:val="en-US" w:eastAsia="zh-CN" w:bidi="ar"/>
              </w:rPr>
              <w:t>单位</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7621FA2D">
            <w:pPr>
              <w:keepNext w:val="0"/>
              <w:keepLines w:val="0"/>
              <w:widowControl/>
              <w:suppressLineNumbers w:val="0"/>
              <w:spacing w:line="240" w:lineRule="auto"/>
              <w:ind w:left="0" w:leftChars="0" w:firstLine="0" w:firstLineChars="0"/>
              <w:jc w:val="center"/>
              <w:textAlignment w:val="center"/>
              <w:rPr>
                <w:rFonts w:hint="eastAsia" w:ascii="黑体" w:hAnsi="黑体" w:eastAsia="黑体" w:cs="黑体"/>
                <w:b w:val="0"/>
                <w:bCs/>
                <w:i w:val="0"/>
                <w:color w:val="000000"/>
                <w:sz w:val="24"/>
                <w:szCs w:val="24"/>
                <w:highlight w:val="none"/>
                <w:u w:val="none"/>
              </w:rPr>
            </w:pPr>
            <w:r>
              <w:rPr>
                <w:rFonts w:hint="eastAsia" w:ascii="黑体" w:hAnsi="黑体" w:eastAsia="黑体" w:cs="黑体"/>
                <w:b w:val="0"/>
                <w:bCs/>
                <w:i w:val="0"/>
                <w:color w:val="000000"/>
                <w:kern w:val="0"/>
                <w:sz w:val="24"/>
                <w:szCs w:val="24"/>
                <w:highlight w:val="none"/>
                <w:u w:val="none"/>
                <w:lang w:val="en-US" w:eastAsia="zh-CN" w:bidi="ar"/>
              </w:rPr>
              <w:t>数值</w:t>
            </w:r>
          </w:p>
        </w:tc>
      </w:tr>
      <w:tr w14:paraId="70837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B22A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直接排放（范围1）</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8E0A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42AF0F7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 xml:space="preserve">199.93 </w:t>
            </w:r>
          </w:p>
        </w:tc>
      </w:tr>
      <w:tr w14:paraId="56E40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274B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间接排放（范围2+范围3）</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8CA3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32C4193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 xml:space="preserve">2749.73 </w:t>
            </w:r>
          </w:p>
        </w:tc>
      </w:tr>
      <w:tr w14:paraId="2A05C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3E62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二氧化碳排放总量（范围1+范围2+范围3）</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8B8A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38BD4EA5">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 xml:space="preserve">2949.66 </w:t>
            </w:r>
          </w:p>
        </w:tc>
      </w:tr>
      <w:tr w14:paraId="08E5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3BCA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二氧化碳排放总量（范围1+范围2）</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6A5E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21FDF8DD">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 xml:space="preserve">2887.18 </w:t>
            </w:r>
          </w:p>
        </w:tc>
      </w:tr>
      <w:tr w14:paraId="7E4F0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EA83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人均二氧化碳排放量（范围1+范围2）</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57DB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吨二氧化碳/人</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4DE8E45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 xml:space="preserve">3.51 </w:t>
            </w:r>
          </w:p>
        </w:tc>
      </w:tr>
      <w:tr w14:paraId="3596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9CDB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单位建筑面积二氧化碳排放量（范围1+范围2）</w:t>
            </w:r>
          </w:p>
        </w:tc>
        <w:tc>
          <w:tcPr>
            <w:tcW w:w="23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7D33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吨二氧化碳/平方米</w:t>
            </w:r>
          </w:p>
        </w:tc>
        <w:tc>
          <w:tcPr>
            <w:tcW w:w="981"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14:paraId="6180580E">
            <w:pPr>
              <w:keepNext w:val="0"/>
              <w:keepLines w:val="0"/>
              <w:widowControl/>
              <w:suppressLineNumbers w:val="0"/>
              <w:spacing w:line="240" w:lineRule="auto"/>
              <w:ind w:left="0" w:leftChars="0" w:firstLine="0" w:firstLineChars="0"/>
              <w:jc w:val="center"/>
              <w:textAlignment w:val="center"/>
              <w:rPr>
                <w:rFonts w:hint="default" w:ascii="仿宋_GB2312" w:hAnsi="仿宋_GB2312" w:eastAsia="仿宋_GB2312" w:cs="仿宋_GB2312"/>
                <w:i w:val="0"/>
                <w:color w:val="000000"/>
                <w:kern w:val="0"/>
                <w:sz w:val="22"/>
                <w:szCs w:val="22"/>
                <w:highlight w:val="none"/>
                <w:u w:val="none"/>
                <w:lang w:val="en-US" w:eastAsia="zh-CN" w:bidi="ar"/>
              </w:rPr>
            </w:pPr>
            <w:r>
              <w:rPr>
                <w:rFonts w:hint="eastAsia" w:ascii="仿宋_GB2312" w:hAnsi="仿宋_GB2312" w:eastAsia="仿宋_GB2312" w:cs="仿宋_GB2312"/>
                <w:i w:val="0"/>
                <w:color w:val="000000"/>
                <w:kern w:val="0"/>
                <w:sz w:val="22"/>
                <w:szCs w:val="22"/>
                <w:highlight w:val="none"/>
                <w:u w:val="none"/>
                <w:lang w:val="en-US" w:eastAsia="zh-CN" w:bidi="ar"/>
              </w:rPr>
              <w:t>0.048</w:t>
            </w:r>
          </w:p>
        </w:tc>
      </w:tr>
    </w:tbl>
    <w:p w14:paraId="45181E5C">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000000" w:themeColor="text1"/>
          <w:highlight w:val="none"/>
          <w:lang w:val="en-US"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综上，</w:t>
      </w:r>
      <w:r>
        <w:rPr>
          <w:rFonts w:hint="default" w:ascii="仿宋_GB2312" w:hAnsi="仿宋_GB2312" w:eastAsia="仿宋_GB2312" w:cs="仿宋_GB2312"/>
          <w:color w:val="000000" w:themeColor="text1"/>
          <w:highlight w:val="none"/>
          <w:lang w:val="en-US" w:eastAsia="zh-CN"/>
          <w14:textFill>
            <w14:solidFill>
              <w14:schemeClr w14:val="tx1"/>
            </w14:solidFill>
          </w14:textFill>
        </w:rPr>
        <w:t>202</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4</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年，本行温室气体排放总量（直接温室气体排放与间接温室气体排放之和）为</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2949.66</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吨二氧化碳当量，人均温室气体排放</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3.51</w:t>
      </w:r>
      <w:r>
        <w:rPr>
          <w:rFonts w:hint="default" w:ascii="仿宋_GB2312" w:hAnsi="仿宋_GB2312" w:eastAsia="仿宋_GB2312" w:cs="仿宋_GB2312"/>
          <w:color w:val="000000" w:themeColor="text1"/>
          <w:highlight w:val="none"/>
          <w:lang w:val="en-US" w:eastAsia="zh-CN"/>
          <w14:textFill>
            <w14:solidFill>
              <w14:schemeClr w14:val="tx1"/>
            </w14:solidFill>
          </w14:textFill>
        </w:rPr>
        <w:t>吨二氧化碳当量</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w:t>
      </w:r>
    </w:p>
    <w:p w14:paraId="4A5808D8">
      <w:pPr>
        <w:pStyle w:val="7"/>
        <w:keepNext w:val="0"/>
        <w:keepLines w:val="0"/>
        <w:pageBreakBefore w:val="0"/>
        <w:widowControl w:val="0"/>
        <w:kinsoku/>
        <w:wordWrap/>
        <w:overflowPunct/>
        <w:topLinePunct w:val="0"/>
        <w:autoSpaceDE/>
        <w:autoSpaceDN/>
        <w:bidi w:val="0"/>
        <w:adjustRightInd/>
        <w:snapToGrid/>
        <w:spacing w:after="200" w:line="560" w:lineRule="exact"/>
        <w:textAlignment w:val="auto"/>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在</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本行经营活动环境影响的计算</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中</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，电力二氧化碳排放系数来源于《</w:t>
      </w:r>
      <w:r>
        <w:rPr>
          <w:rFonts w:ascii="仿宋_GB2312" w:hAnsi="仿宋_GB2312" w:eastAsia="仿宋_GB2312" w:cs="仿宋_GB2312"/>
          <w:i w:val="0"/>
          <w:iCs w:val="0"/>
          <w:caps w:val="0"/>
          <w:color w:val="000000" w:themeColor="text1"/>
          <w:spacing w:val="0"/>
          <w:kern w:val="0"/>
          <w:sz w:val="32"/>
          <w:szCs w:val="32"/>
          <w:highlight w:val="none"/>
          <w:shd w:val="clear" w:fill="auto"/>
          <w:lang w:bidi="ar"/>
          <w14:textFill>
            <w14:solidFill>
              <w14:schemeClr w14:val="tx1"/>
            </w14:solidFill>
          </w14:textFill>
        </w:rPr>
        <w:t>关于做好2023—2025年发电行业企业温室气体排放报告管理有关工作的通知</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》中明确</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的</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2022年度全国电网平均排放因子0.5703t/MWh，</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化石燃料燃烧与</w:t>
      </w:r>
      <w:r>
        <w:rPr>
          <w:rFonts w:ascii="仿宋_GB2312" w:hAnsi="仿宋_GB2312" w:eastAsia="仿宋_GB2312" w:cs="仿宋_GB2312"/>
          <w:i w:val="0"/>
          <w:iCs w:val="0"/>
          <w:caps w:val="0"/>
          <w:color w:val="000000" w:themeColor="text1"/>
          <w:spacing w:val="0"/>
          <w:kern w:val="0"/>
          <w:sz w:val="32"/>
          <w:szCs w:val="32"/>
          <w:highlight w:val="none"/>
          <w:shd w:val="clear" w:fill="auto"/>
          <w:lang w:bidi="ar"/>
          <w14:textFill>
            <w14:solidFill>
              <w14:schemeClr w14:val="tx1"/>
            </w14:solidFill>
          </w14:textFill>
        </w:rPr>
        <w:t>热力供应的</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二氧化碳排放系数来源于</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工业其他行业企业—温室气体排放核算方法与报告指南</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间接排放中范围三活动</w:t>
      </w:r>
      <w:r>
        <w:rPr>
          <w:rFonts w:hint="default"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二氧化碳排放系数来源于《中国产品全生命周期温室气体排放系数集(2022)》</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rPr>
        <w:t>，二氧化碳减排测算及参数选择如下：</w:t>
      </w:r>
    </w:p>
    <w:p w14:paraId="43286259">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default" w:ascii="仿宋_GB2312" w:hAnsi="仿宋_GB2312" w:eastAsia="仿宋_GB2312" w:cs="仿宋_GB2312"/>
          <w:color w:val="000000" w:themeColor="text1"/>
          <w:kern w:val="0"/>
          <w:sz w:val="28"/>
          <w:szCs w:val="28"/>
          <w:highlight w:val="none"/>
          <w:vertAlign w:val="baseli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CO</w:t>
      </w:r>
      <w:r>
        <w:rPr>
          <w:rFonts w:hint="eastAsia" w:ascii="仿宋_GB2312" w:hAnsi="仿宋_GB2312" w:eastAsia="仿宋_GB2312" w:cs="仿宋_GB2312"/>
          <w:color w:val="000000" w:themeColor="text1"/>
          <w:kern w:val="0"/>
          <w:sz w:val="28"/>
          <w:szCs w:val="28"/>
          <w:highlight w:val="none"/>
          <w:vertAlign w:val="subscript"/>
          <w:lang w:val="en-US" w:eastAsia="zh-CN" w:bidi="ar"/>
          <w14:textFill>
            <w14:solidFill>
              <w14:schemeClr w14:val="tx1"/>
            </w14:solidFill>
          </w14:textFill>
        </w:rPr>
        <w:t>2</w:t>
      </w:r>
      <w:r>
        <w:rPr>
          <w:rFonts w:hint="eastAsia" w:ascii="仿宋_GB2312" w:hAnsi="仿宋_GB2312" w:eastAsia="仿宋_GB2312" w:cs="仿宋_GB2312"/>
          <w:color w:val="000000" w:themeColor="text1"/>
          <w:kern w:val="0"/>
          <w:sz w:val="28"/>
          <w:szCs w:val="28"/>
          <w:highlight w:val="none"/>
          <w:vertAlign w:val="baseline"/>
          <w:lang w:val="en-US" w:eastAsia="zh-CN" w:bidi="ar"/>
          <w14:textFill>
            <w14:solidFill>
              <w14:schemeClr w14:val="tx1"/>
            </w14:solidFill>
          </w14:textFill>
        </w:rPr>
        <w:t>=</w:t>
      </w:r>
      <w:r>
        <w:rPr>
          <w:sz w:val="28"/>
          <w:szCs w:val="28"/>
          <w:highlight w:val="none"/>
        </w:rPr>
        <w:drawing>
          <wp:inline distT="0" distB="0" distL="114300" distR="114300">
            <wp:extent cx="590550" cy="31877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90550" cy="318770"/>
                    </a:xfrm>
                    <a:prstGeom prst="rect">
                      <a:avLst/>
                    </a:prstGeom>
                    <a:noFill/>
                    <a:ln>
                      <a:noFill/>
                    </a:ln>
                  </pic:spPr>
                </pic:pic>
              </a:graphicData>
            </a:graphic>
          </wp:inline>
        </w:drawing>
      </w:r>
    </w:p>
    <w:p w14:paraId="1EC73080">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CO</w:t>
      </w:r>
      <w:r>
        <w:rPr>
          <w:rFonts w:hint="eastAsia" w:ascii="仿宋_GB2312" w:hAnsi="仿宋_GB2312" w:eastAsia="仿宋_GB2312" w:cs="仿宋_GB2312"/>
          <w:color w:val="000000" w:themeColor="text1"/>
          <w:kern w:val="0"/>
          <w:sz w:val="28"/>
          <w:szCs w:val="28"/>
          <w:highlight w:val="none"/>
          <w:vertAlign w:val="subscript"/>
          <w:lang w:val="en-US" w:eastAsia="zh-CN" w:bidi="ar"/>
          <w14:textFill>
            <w14:solidFill>
              <w14:schemeClr w14:val="tx1"/>
            </w14:solidFill>
          </w14:textFill>
        </w:rPr>
        <w:t>2</w:t>
      </w: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 xml:space="preserve"> :项目二氧化碳减排量，单位：吨.二氧化碳；</w:t>
      </w:r>
    </w:p>
    <w:p w14:paraId="4D1AF29D">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E</w:t>
      </w:r>
      <w:r>
        <w:rPr>
          <w:rFonts w:hint="eastAsia" w:ascii="仿宋_GB2312" w:hAnsi="仿宋_GB2312" w:eastAsia="仿宋_GB2312" w:cs="仿宋_GB2312"/>
          <w:color w:val="000000" w:themeColor="text1"/>
          <w:kern w:val="0"/>
          <w:sz w:val="28"/>
          <w:szCs w:val="28"/>
          <w:highlight w:val="none"/>
          <w:vertAlign w:val="subscript"/>
          <w:lang w:val="en-US" w:eastAsia="zh-CN" w:bidi="ar"/>
          <w14:textFill>
            <w14:solidFill>
              <w14:schemeClr w14:val="tx1"/>
            </w14:solidFill>
          </w14:textFill>
        </w:rPr>
        <w:t>i</w:t>
      </w: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 xml:space="preserve"> ：项目某能源消费品种的实物消耗量，单位：吨（或万千瓦时或立方米等）；</w:t>
      </w:r>
    </w:p>
    <w:p w14:paraId="1F9EEEAD">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a</w:t>
      </w:r>
      <w:r>
        <w:rPr>
          <w:rFonts w:hint="eastAsia" w:ascii="仿宋_GB2312" w:hAnsi="仿宋_GB2312" w:eastAsia="仿宋_GB2312" w:cs="仿宋_GB2312"/>
          <w:color w:val="000000" w:themeColor="text1"/>
          <w:kern w:val="0"/>
          <w:sz w:val="28"/>
          <w:szCs w:val="28"/>
          <w:highlight w:val="none"/>
          <w:vertAlign w:val="subscript"/>
          <w:lang w:val="en-US" w:eastAsia="zh-CN" w:bidi="ar"/>
          <w14:textFill>
            <w14:solidFill>
              <w14:schemeClr w14:val="tx1"/>
            </w14:solidFill>
          </w14:textFill>
        </w:rPr>
        <w:t>i</w:t>
      </w:r>
      <w:r>
        <w:rPr>
          <w:rFonts w:hint="eastAsia" w:ascii="仿宋_GB2312" w:hAnsi="仿宋_GB2312" w:eastAsia="仿宋_GB2312" w:cs="仿宋_GB2312"/>
          <w:color w:val="000000" w:themeColor="text1"/>
          <w:kern w:val="0"/>
          <w:sz w:val="28"/>
          <w:szCs w:val="28"/>
          <w:highlight w:val="none"/>
          <w:lang w:val="en-US" w:eastAsia="zh-CN" w:bidi="ar"/>
          <w14:textFill>
            <w14:solidFill>
              <w14:schemeClr w14:val="tx1"/>
            </w14:solidFill>
          </w14:textFill>
        </w:rPr>
        <w:t xml:space="preserve"> ：项目消费能源品种的二氧化碳排放系数，单位为：千克二氧化碳/千克（或立方米）。</w:t>
      </w:r>
    </w:p>
    <w:p w14:paraId="457603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t>范围三温室气体排放核算范围主要为员工差旅、纸张使用、垃圾处理等。</w:t>
      </w:r>
    </w:p>
    <w:p w14:paraId="197709B7">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420" w:leftChars="0" w:hanging="420" w:firstLineChars="0"/>
        <w:textAlignment w:val="auto"/>
        <w:rPr>
          <w:rFonts w:hint="eastAsia"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t>员工差旅乘坐交通工具主要为飞机、高铁、汽车，其温室气体排放计算方法为报告期年度内员工差旅利用的交通工具总里程乘以相应交通工具碳排放因子，碳排放因子取值参考中国温室气体工作组（CCG）公布的《中国产品全生命周期温室气体排放系数集（2022）》中各类型交通工具对应的碳排放因子；</w:t>
      </w:r>
    </w:p>
    <w:p w14:paraId="2F317433">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420" w:leftChars="0" w:hanging="420" w:firstLineChars="0"/>
        <w:textAlignment w:val="auto"/>
        <w:rPr>
          <w:rFonts w:hint="eastAsia"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highlight w:val="none"/>
          <w:shd w:val="clear" w:fill="auto"/>
          <w:lang w:val="en-US" w:eastAsia="zh-CN" w:bidi="ar"/>
          <w14:textFill>
            <w14:solidFill>
              <w14:schemeClr w14:val="tx1"/>
            </w14:solidFill>
          </w14:textFill>
        </w:rPr>
        <w:t>垃圾处理温室气体排放计算方法为报告期内的使用量（或转运量）乘以相应碳排放因子，碳排放因子取值参考中国温室气体工作组（CCG）公布的《中国产品全生命周期温室气体排放系数集（2022）》中各类型活动对应的碳排放因子。</w:t>
      </w:r>
    </w:p>
    <w:p w14:paraId="575DD5CE">
      <w:pPr>
        <w:pStyle w:val="4"/>
        <w:pageBreakBefore w:val="0"/>
        <w:numPr>
          <w:ilvl w:val="0"/>
          <w:numId w:val="0"/>
        </w:numPr>
        <w:kinsoku/>
        <w:wordWrap/>
        <w:overflowPunct/>
        <w:topLinePunct w:val="0"/>
        <w:autoSpaceDE/>
        <w:autoSpaceDN/>
        <w:bidi w:val="0"/>
        <w:adjustRightInd/>
        <w:snapToGrid/>
        <w:spacing w:before="157" w:beforeLines="50" w:after="157" w:afterLines="50" w:line="520" w:lineRule="exact"/>
        <w:jc w:val="center"/>
        <w:textAlignment w:val="auto"/>
        <w:rPr>
          <w:rFonts w:hint="default" w:ascii="黑体" w:hAnsi="黑体" w:eastAsia="黑体" w:cs="黑体"/>
          <w:b w:val="0"/>
          <w:bCs w:val="0"/>
          <w:color w:val="000000" w:themeColor="text1"/>
          <w:kern w:val="2"/>
          <w:sz w:val="32"/>
          <w:szCs w:val="22"/>
          <w:highlight w:val="none"/>
          <w:lang w:val="en-US" w:eastAsia="zh-CN" w:bidi="ar-SA"/>
          <w14:textFill>
            <w14:solidFill>
              <w14:schemeClr w14:val="tx1"/>
            </w14:solidFill>
          </w14:textFill>
        </w:rPr>
      </w:pPr>
      <w:r>
        <w:rPr>
          <w:rFonts w:hint="eastAsia" w:ascii="黑体" w:hAnsi="黑体" w:eastAsia="黑体" w:cs="黑体"/>
          <w:b w:val="0"/>
          <w:color w:val="000000" w:themeColor="text1"/>
          <w:kern w:val="2"/>
          <w:sz w:val="32"/>
          <w:szCs w:val="22"/>
          <w:highlight w:val="none"/>
          <w:lang w:val="en-US" w:eastAsia="zh-CN" w:bidi="ar-SA"/>
          <w14:textFill>
            <w14:solidFill>
              <w14:schemeClr w14:val="tx1"/>
            </w14:solidFill>
          </w14:textFill>
        </w:rPr>
        <w:t xml:space="preserve">第九部分 </w:t>
      </w:r>
      <w:r>
        <w:rPr>
          <w:rFonts w:hint="eastAsia" w:ascii="黑体" w:hAnsi="黑体" w:eastAsia="黑体" w:cs="黑体"/>
          <w:b w:val="0"/>
          <w:bCs w:val="0"/>
          <w:color w:val="000000" w:themeColor="text1"/>
          <w:kern w:val="2"/>
          <w:sz w:val="32"/>
          <w:szCs w:val="22"/>
          <w:highlight w:val="none"/>
          <w:lang w:val="en-US" w:eastAsia="zh-CN" w:bidi="ar-SA"/>
          <w14:textFill>
            <w14:solidFill>
              <w14:schemeClr w14:val="tx1"/>
            </w14:solidFill>
          </w14:textFill>
        </w:rPr>
        <w:t>本行</w:t>
      </w:r>
      <w:r>
        <w:rPr>
          <w:rFonts w:hint="default" w:ascii="黑体" w:hAnsi="黑体" w:eastAsia="黑体" w:cs="黑体"/>
          <w:b w:val="0"/>
          <w:bCs w:val="0"/>
          <w:color w:val="000000" w:themeColor="text1"/>
          <w:kern w:val="2"/>
          <w:sz w:val="32"/>
          <w:szCs w:val="22"/>
          <w:highlight w:val="none"/>
          <w:lang w:val="en-US" w:eastAsia="zh-CN" w:bidi="ar-SA"/>
          <w14:textFill>
            <w14:solidFill>
              <w14:schemeClr w14:val="tx1"/>
            </w14:solidFill>
          </w14:textFill>
        </w:rPr>
        <w:t>环保措施所产生的环境效益</w:t>
      </w:r>
    </w:p>
    <w:p w14:paraId="587217F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宣传推广方面。本行积极开展绿色金融政策宣讲、案例讲解、宣传推广等活动，利用本行官方网站、微信公众号、视频号、网点电视机、厅堂微沙龙、宣传折页等线上线下渠道，结合金融知识普及、企业大走访等活动，广泛宣传解读绿色金融政策和工作成效，引导社会公众自觉践行绿色金融发展理念，支持本行绿色金融发展的良好局面。</w:t>
      </w:r>
    </w:p>
    <w:p w14:paraId="189EC6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（二）制度建设方面。</w:t>
      </w:r>
      <w:r>
        <w:rPr>
          <w:rFonts w:hint="eastAsia" w:ascii="仿宋_GB2312" w:hAnsi="仿宋_GB2312" w:eastAsia="仿宋_GB2312" w:cs="仿宋_GB2312"/>
          <w:sz w:val="32"/>
          <w:szCs w:val="32"/>
          <w:highlight w:val="none"/>
        </w:rPr>
        <w:t>根据国家有关部门的法律法规、产业结构调整指导目录等，建立适应绿色信贷业务发展特点的信用评级、信贷流程和风险控制等规章制度，不断完善绿色信贷利率定价、内部信用评价、业务审批和内部激励约束机制。</w:t>
      </w:r>
      <w:r>
        <w:rPr>
          <w:rFonts w:hint="eastAsia" w:ascii="仿宋_GB2312" w:hAnsi="仿宋_GB2312" w:eastAsia="仿宋_GB2312" w:cs="仿宋_GB2312"/>
          <w:sz w:val="32"/>
          <w:szCs w:val="32"/>
          <w:highlight w:val="none"/>
          <w:lang w:val="en-US" w:eastAsia="zh-CN"/>
        </w:rPr>
        <w:t>同时完善绿色金融与绩效考核机制，将绿色信贷纳入全行经营管理目标考核中，激发各机构工作积极性，加大绿色信贷投放力度。</w:t>
      </w:r>
    </w:p>
    <w:p w14:paraId="39DCA71F">
      <w:pPr>
        <w:pStyle w:val="1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（三）职工能力建设方面。</w:t>
      </w:r>
      <w:r>
        <w:rPr>
          <w:rFonts w:hint="eastAsia" w:ascii="仿宋_GB2312" w:hAnsi="仿宋_GB2312" w:eastAsia="仿宋_GB2312" w:cs="仿宋_GB2312"/>
          <w:kern w:val="2"/>
          <w:sz w:val="32"/>
          <w:highlight w:val="none"/>
        </w:rPr>
        <w:t>本行高度重视</w:t>
      </w:r>
      <w:r>
        <w:rPr>
          <w:rFonts w:hint="eastAsia" w:ascii="仿宋_GB2312" w:hAnsi="仿宋_GB2312" w:eastAsia="仿宋_GB2312" w:cs="仿宋_GB2312"/>
          <w:sz w:val="32"/>
          <w:szCs w:val="32"/>
          <w:highlight w:val="none"/>
        </w:rPr>
        <w:t>绿色金融理念宣传教育</w:t>
      </w:r>
      <w:r>
        <w:rPr>
          <w:rFonts w:hint="eastAsia" w:ascii="仿宋_GB2312" w:hAnsi="仿宋_GB2312" w:eastAsia="仿宋_GB2312" w:cs="仿宋_GB2312"/>
          <w:kern w:val="2"/>
          <w:sz w:val="32"/>
          <w:highlight w:val="none"/>
          <w:lang w:eastAsia="zh-CN"/>
        </w:rPr>
        <w:t>，倡导绿色运营、绿色办公，践行环保责任，将环保理念融入到日常运营的全过程，培养员工的环保意识、责任意识。</w:t>
      </w:r>
      <w:r>
        <w:rPr>
          <w:rFonts w:hint="eastAsia" w:ascii="仿宋_GB2312" w:hAnsi="仿宋_GB2312" w:eastAsia="仿宋_GB2312" w:cs="仿宋_GB2312"/>
          <w:sz w:val="32"/>
          <w:szCs w:val="32"/>
          <w:highlight w:val="none"/>
        </w:rPr>
        <w:t>结合智能网点升级改造，加快推进金融科技应用程度，提高信息化，集约化管理和服务水平。</w:t>
      </w:r>
      <w:r>
        <w:rPr>
          <w:rFonts w:hint="eastAsia" w:ascii="仿宋_GB2312" w:hAnsi="仿宋_GB2312" w:eastAsia="仿宋_GB2312" w:cs="仿宋_GB2312"/>
          <w:kern w:val="2"/>
          <w:sz w:val="32"/>
          <w:highlight w:val="none"/>
          <w:lang w:eastAsia="zh-CN"/>
        </w:rPr>
        <w:t>上线流程平台，不断对平台进行升级优化，并自主开发上线了行员等级管理系统、授信辅助审批系统、电子介绍信管理系统、电子设备管理系统等，充分发挥线上办公系统整体性、协同性和便捷性等优势，积极推进电子化和无纸化办公。</w:t>
      </w:r>
      <w:r>
        <w:rPr>
          <w:rFonts w:hint="eastAsia" w:ascii="仿宋_GB2312" w:hAnsi="仿宋_GB2312" w:eastAsia="仿宋_GB2312" w:cs="仿宋_GB2312"/>
          <w:kern w:val="2"/>
          <w:sz w:val="32"/>
          <w:highlight w:val="none"/>
          <w:lang w:val="en-US" w:eastAsia="zh-CN"/>
        </w:rPr>
        <w:t>大力</w:t>
      </w:r>
      <w:r>
        <w:rPr>
          <w:rFonts w:hint="eastAsia" w:ascii="仿宋_GB2312" w:hAnsi="仿宋_GB2312" w:eastAsia="仿宋_GB2312" w:cs="仿宋_GB2312"/>
          <w:sz w:val="32"/>
          <w:szCs w:val="32"/>
          <w:highlight w:val="none"/>
        </w:rPr>
        <w:t>推进“</w:t>
      </w:r>
      <w:r>
        <w:rPr>
          <w:rFonts w:hint="eastAsia" w:ascii="仿宋_GB2312" w:hAnsi="仿宋_GB2312" w:eastAsia="仿宋_GB2312" w:cs="仿宋_GB2312"/>
          <w:sz w:val="32"/>
          <w:szCs w:val="32"/>
          <w:highlight w:val="none"/>
          <w:lang w:val="en-US" w:eastAsia="zh-CN"/>
        </w:rPr>
        <w:t>福农通</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网贷、苏信贷</w:t>
      </w:r>
      <w:r>
        <w:rPr>
          <w:rFonts w:hint="eastAsia" w:ascii="仿宋_GB2312" w:hAnsi="仿宋_GB2312" w:eastAsia="仿宋_GB2312" w:cs="仿宋_GB2312"/>
          <w:sz w:val="32"/>
          <w:szCs w:val="32"/>
          <w:highlight w:val="none"/>
        </w:rPr>
        <w:t>等线上贷款业务，提高服务效率和客户体验。</w:t>
      </w:r>
      <w:r>
        <w:rPr>
          <w:rFonts w:hint="eastAsia" w:ascii="仿宋_GB2312" w:hAnsi="仿宋_GB2312" w:eastAsia="仿宋_GB2312" w:cs="仿宋_GB2312"/>
          <w:sz w:val="32"/>
          <w:szCs w:val="32"/>
          <w:highlight w:val="none"/>
          <w:lang w:val="en-US" w:eastAsia="zh-CN"/>
        </w:rPr>
        <w:t>同时</w:t>
      </w:r>
      <w:r>
        <w:rPr>
          <w:rFonts w:hint="eastAsia" w:ascii="仿宋_GB2312" w:hAnsi="仿宋_GB2312" w:eastAsia="仿宋_GB2312" w:cs="仿宋_GB2312"/>
          <w:sz w:val="32"/>
          <w:szCs w:val="32"/>
          <w:highlight w:val="none"/>
        </w:rPr>
        <w:t>加强绿色金融培训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定期组织支行行长、信贷人员等关于绿色金融产品和业务培训，了解绿色金融的概念、政策和案例，掌握业务开展的流程，进一步</w:t>
      </w:r>
      <w:r>
        <w:rPr>
          <w:rFonts w:hint="eastAsia" w:ascii="仿宋_GB2312" w:hAnsi="仿宋_GB2312" w:eastAsia="仿宋_GB2312" w:cs="仿宋_GB2312"/>
          <w:sz w:val="32"/>
          <w:szCs w:val="32"/>
          <w:highlight w:val="none"/>
        </w:rPr>
        <w:t>明确条件，把好</w:t>
      </w:r>
      <w:r>
        <w:rPr>
          <w:rFonts w:hint="eastAsia" w:ascii="仿宋_GB2312" w:hAnsi="仿宋_GB2312" w:eastAsia="仿宋_GB2312" w:cs="仿宋_GB2312"/>
          <w:sz w:val="32"/>
          <w:szCs w:val="32"/>
          <w:highlight w:val="none"/>
          <w:lang w:val="en-US" w:eastAsia="zh-CN"/>
        </w:rPr>
        <w:t>绿色金融业务</w:t>
      </w:r>
      <w:r>
        <w:rPr>
          <w:rFonts w:hint="eastAsia" w:ascii="仿宋_GB2312" w:hAnsi="仿宋_GB2312" w:eastAsia="仿宋_GB2312" w:cs="仿宋_GB2312"/>
          <w:sz w:val="32"/>
          <w:szCs w:val="32"/>
          <w:highlight w:val="none"/>
        </w:rPr>
        <w:t>准入关</w:t>
      </w:r>
      <w:r>
        <w:rPr>
          <w:rFonts w:hint="eastAsia" w:ascii="仿宋_GB2312" w:hAnsi="仿宋_GB2312" w:eastAsia="仿宋_GB2312" w:cs="仿宋_GB2312"/>
          <w:sz w:val="32"/>
          <w:szCs w:val="32"/>
          <w:highlight w:val="none"/>
          <w:lang w:eastAsia="zh-CN"/>
        </w:rPr>
        <w:t>。</w:t>
      </w:r>
      <w:bookmarkStart w:id="34" w:name="_Toc6961"/>
      <w:bookmarkStart w:id="35" w:name="_Toc16128"/>
    </w:p>
    <w:p w14:paraId="6457F8A9">
      <w:pPr>
        <w:pStyle w:val="1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1920" w:firstLineChars="600"/>
        <w:jc w:val="both"/>
        <w:textAlignment w:val="auto"/>
        <w:rPr>
          <w:rFonts w:hint="default" w:ascii="黑体" w:hAnsi="黑体" w:eastAsia="黑体" w:cs="黑体"/>
          <w:b w:val="0"/>
          <w:color w:val="000000" w:themeColor="text1"/>
          <w:kern w:val="2"/>
          <w:sz w:val="32"/>
          <w:szCs w:val="22"/>
          <w:highlight w:val="none"/>
          <w:lang w:val="en-US" w:eastAsia="zh-CN" w:bidi="ar-SA"/>
          <w14:textFill>
            <w14:solidFill>
              <w14:schemeClr w14:val="tx1"/>
            </w14:solidFill>
          </w14:textFill>
        </w:rPr>
      </w:pPr>
      <w:r>
        <w:rPr>
          <w:rFonts w:hint="eastAsia" w:ascii="黑体" w:hAnsi="黑体" w:eastAsia="黑体" w:cs="黑体"/>
          <w:b w:val="0"/>
          <w:color w:val="000000" w:themeColor="text1"/>
          <w:kern w:val="2"/>
          <w:sz w:val="32"/>
          <w:szCs w:val="22"/>
          <w:highlight w:val="none"/>
          <w:lang w:val="en-US" w:eastAsia="zh-CN" w:bidi="ar-SA"/>
          <w14:textFill>
            <w14:solidFill>
              <w14:schemeClr w14:val="tx1"/>
            </w14:solidFill>
          </w14:textFill>
        </w:rPr>
        <w:t xml:space="preserve">第十部分 </w:t>
      </w:r>
      <w:r>
        <w:rPr>
          <w:rFonts w:hint="default" w:ascii="黑体" w:hAnsi="黑体" w:eastAsia="黑体" w:cs="黑体"/>
          <w:b w:val="0"/>
          <w:color w:val="000000" w:themeColor="text1"/>
          <w:kern w:val="2"/>
          <w:sz w:val="32"/>
          <w:szCs w:val="22"/>
          <w:highlight w:val="none"/>
          <w:lang w:val="en-US" w:eastAsia="zh-CN" w:bidi="ar-SA"/>
          <w14:textFill>
            <w14:solidFill>
              <w14:schemeClr w14:val="tx1"/>
            </w14:solidFill>
          </w14:textFill>
        </w:rPr>
        <w:t>数据梳理、校验及保护</w:t>
      </w:r>
      <w:bookmarkEnd w:id="34"/>
      <w:bookmarkEnd w:id="35"/>
    </w:p>
    <w:p w14:paraId="07FA853B">
      <w:pPr>
        <w:pStyle w:val="1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b w:val="0"/>
          <w:kern w:val="2"/>
          <w:sz w:val="32"/>
          <w:szCs w:val="22"/>
          <w:highlight w:val="none"/>
          <w:lang w:val="en-US" w:eastAsia="zh-CN" w:bidi="ar"/>
        </w:rPr>
      </w:pPr>
      <w:r>
        <w:rPr>
          <w:rFonts w:hint="eastAsia" w:ascii="仿宋_GB2312" w:hAnsi="仿宋_GB2312" w:eastAsia="仿宋_GB2312" w:cs="仿宋_GB2312"/>
          <w:b w:val="0"/>
          <w:kern w:val="2"/>
          <w:sz w:val="32"/>
          <w:szCs w:val="22"/>
          <w:highlight w:val="none"/>
          <w:lang w:val="en-US" w:eastAsia="zh-CN" w:bidi="ar"/>
        </w:rPr>
        <w:t>为切实保障生产数据安全，规范生产数据采集、备份、抽检、恢复、保管、使用、清理与销毁等行为，本行采取对于重要业务系统如核心系统、信贷系统等各类生产应用，包括手机银行、网上银行等渠道系统均由省农商联合银行统一建设和维护的管理方法。</w:t>
      </w:r>
    </w:p>
    <w:p w14:paraId="5D1EBF73">
      <w:pPr>
        <w:pStyle w:val="1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b w:val="0"/>
          <w:kern w:val="2"/>
          <w:sz w:val="32"/>
          <w:szCs w:val="22"/>
          <w:highlight w:val="none"/>
          <w:lang w:val="en-US" w:eastAsia="zh-CN" w:bidi="ar"/>
        </w:rPr>
      </w:pPr>
      <w:r>
        <w:rPr>
          <w:rFonts w:hint="eastAsia" w:ascii="仿宋_GB2312" w:hAnsi="仿宋_GB2312" w:eastAsia="仿宋_GB2312" w:cs="仿宋_GB2312"/>
          <w:b w:val="0"/>
          <w:kern w:val="2"/>
          <w:sz w:val="32"/>
          <w:szCs w:val="22"/>
          <w:highlight w:val="none"/>
          <w:lang w:val="en-US" w:eastAsia="zh-CN" w:bidi="ar"/>
        </w:rPr>
        <w:t>为强化计算机系统信息安全管理，保障银行计算机网络与信息系统安全和稳定运行，本行将信息安全管理工作作为日常重点工作，对外数据做好脱敏处理，防范计算机信息技术风险。同时，本行配置专职系统运维人员对各系统用户权限进行配置管理，并根据省农商联合银行数据管理要求，进一步规范数据信息的安全保障、管理及运维，明确员工准则以防信息泄露、统筹规划业务数据访问权限、制定备份及恢复数据策略。</w:t>
      </w:r>
    </w:p>
    <w:p w14:paraId="0FF4F69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b w:val="0"/>
          <w:color w:val="000000" w:themeColor="text1"/>
          <w:kern w:val="2"/>
          <w:sz w:val="32"/>
          <w:szCs w:val="22"/>
          <w:highlight w:val="none"/>
          <w:lang w:val="en-US" w:eastAsia="zh-CN" w:bidi="ar-SA"/>
          <w14:textFill>
            <w14:solidFill>
              <w14:schemeClr w14:val="tx1"/>
            </w14:solidFill>
          </w14:textFill>
        </w:rPr>
      </w:pPr>
      <w:r>
        <w:rPr>
          <w:rFonts w:hint="eastAsia" w:ascii="仿宋_GB2312" w:hAnsi="仿宋_GB2312" w:eastAsia="仿宋_GB2312" w:cs="仿宋_GB2312"/>
          <w:b w:val="0"/>
          <w:kern w:val="2"/>
          <w:sz w:val="32"/>
          <w:szCs w:val="22"/>
          <w:highlight w:val="none"/>
          <w:lang w:val="en-US" w:eastAsia="zh-CN" w:bidi="ar"/>
        </w:rPr>
        <w:t>同时，在日常的数据查询过程中建立审批制度及流程，对于查询数据的访问，设置控制措施以确保非业务相关人员接触本行机密数据防止机密数据外泄，测试环境需要使用生产数据时也需对客户敏感信息进行脱敏处理。此外，针对业务系统变更等需要修改业务数据方面，本行规定须由需求提出部门发起数据修改流程，科技部根据流程需求做好数据修改等工作，在数据修改前务必做好原始数据备份工作，以备数据恢复需求。</w:t>
      </w:r>
    </w:p>
    <w:p w14:paraId="0D83C61A">
      <w:pPr>
        <w:pStyle w:val="4"/>
        <w:pageBreakBefore w:val="0"/>
        <w:numPr>
          <w:ilvl w:val="0"/>
          <w:numId w:val="0"/>
        </w:numPr>
        <w:kinsoku/>
        <w:wordWrap/>
        <w:overflowPunct/>
        <w:topLinePunct w:val="0"/>
        <w:autoSpaceDE/>
        <w:autoSpaceDN/>
        <w:bidi w:val="0"/>
        <w:adjustRightInd/>
        <w:snapToGrid/>
        <w:spacing w:before="157" w:beforeLines="50" w:after="157" w:afterLines="50" w:line="520" w:lineRule="exact"/>
        <w:jc w:val="center"/>
        <w:textAlignment w:val="auto"/>
        <w:rPr>
          <w:rFonts w:hint="eastAsia" w:ascii="黑体" w:hAnsi="黑体" w:eastAsia="黑体" w:cs="黑体"/>
          <w:b w:val="0"/>
          <w:color w:val="000000" w:themeColor="text1"/>
          <w:kern w:val="2"/>
          <w:sz w:val="32"/>
          <w:szCs w:val="22"/>
          <w:highlight w:val="none"/>
          <w:lang w:val="en-US" w:eastAsia="zh-CN" w:bidi="ar-SA"/>
          <w14:textFill>
            <w14:solidFill>
              <w14:schemeClr w14:val="tx1"/>
            </w14:solidFill>
          </w14:textFill>
        </w:rPr>
      </w:pPr>
      <w:bookmarkStart w:id="36" w:name="_Toc23853"/>
      <w:bookmarkStart w:id="37" w:name="_Toc5216"/>
      <w:r>
        <w:rPr>
          <w:rFonts w:hint="eastAsia" w:ascii="黑体" w:hAnsi="黑体" w:eastAsia="黑体" w:cs="黑体"/>
          <w:b w:val="0"/>
          <w:color w:val="000000" w:themeColor="text1"/>
          <w:kern w:val="2"/>
          <w:sz w:val="32"/>
          <w:szCs w:val="22"/>
          <w:highlight w:val="none"/>
          <w:lang w:val="en-US" w:eastAsia="zh-CN" w:bidi="ar-SA"/>
          <w14:textFill>
            <w14:solidFill>
              <w14:schemeClr w14:val="tx1"/>
            </w14:solidFill>
          </w14:textFill>
        </w:rPr>
        <w:t xml:space="preserve">第十一部分 </w:t>
      </w:r>
      <w:r>
        <w:rPr>
          <w:rFonts w:hint="default" w:ascii="黑体" w:hAnsi="黑体" w:eastAsia="黑体" w:cs="黑体"/>
          <w:b w:val="0"/>
          <w:color w:val="000000" w:themeColor="text1"/>
          <w:kern w:val="2"/>
          <w:sz w:val="32"/>
          <w:szCs w:val="22"/>
          <w:highlight w:val="none"/>
          <w:lang w:val="en-US" w:eastAsia="zh-CN" w:bidi="ar-SA"/>
          <w14:textFill>
            <w14:solidFill>
              <w14:schemeClr w14:val="tx1"/>
            </w14:solidFill>
          </w14:textFill>
        </w:rPr>
        <w:t>绿色金融创新及研究成果</w:t>
      </w:r>
      <w:bookmarkEnd w:id="36"/>
      <w:bookmarkEnd w:id="37"/>
    </w:p>
    <w:p w14:paraId="6171538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ascii="Microsoft YaHei UI" w:hAnsi="Microsoft YaHei UI" w:eastAsia="Microsoft YaHei UI" w:cs="Microsoft YaHei UI"/>
          <w:i w:val="0"/>
          <w:caps w:val="0"/>
          <w:color w:val="auto"/>
          <w:spacing w:val="8"/>
          <w:sz w:val="25"/>
          <w:szCs w:val="25"/>
          <w:highlight w:val="none"/>
        </w:rPr>
      </w:pPr>
      <w:r>
        <w:rPr>
          <w:rFonts w:ascii="仿宋_GB2312" w:hAnsi="Microsoft YaHei UI" w:eastAsia="仿宋_GB2312" w:cs="仿宋_GB2312"/>
          <w:i w:val="0"/>
          <w:caps w:val="0"/>
          <w:spacing w:val="8"/>
          <w:sz w:val="32"/>
          <w:szCs w:val="32"/>
          <w:highlight w:val="none"/>
        </w:rPr>
        <w:t>为实现节能减排、碳中和的目的，</w:t>
      </w:r>
      <w:r>
        <w:rPr>
          <w:rFonts w:hint="eastAsia" w:ascii="仿宋_GB2312" w:hAnsi="Microsoft YaHei UI" w:eastAsia="仿宋_GB2312" w:cs="仿宋_GB2312"/>
          <w:i w:val="0"/>
          <w:caps w:val="0"/>
          <w:spacing w:val="8"/>
          <w:sz w:val="32"/>
          <w:szCs w:val="32"/>
          <w:highlight w:val="none"/>
          <w:lang w:val="en-US" w:eastAsia="zh-CN"/>
        </w:rPr>
        <w:t>本行</w:t>
      </w:r>
      <w:r>
        <w:rPr>
          <w:rFonts w:ascii="仿宋_GB2312" w:hAnsi="Microsoft YaHei UI" w:eastAsia="仿宋_GB2312" w:cs="仿宋_GB2312"/>
          <w:i w:val="0"/>
          <w:caps w:val="0"/>
          <w:spacing w:val="8"/>
          <w:sz w:val="32"/>
          <w:szCs w:val="32"/>
          <w:highlight w:val="none"/>
        </w:rPr>
        <w:t>加强金融科技融入绿色生态发展的创新</w:t>
      </w:r>
      <w:r>
        <w:rPr>
          <w:rFonts w:hint="eastAsia" w:ascii="仿宋_GB2312" w:hAnsi="Microsoft YaHei UI" w:eastAsia="仿宋_GB2312" w:cs="仿宋_GB2312"/>
          <w:i w:val="0"/>
          <w:caps w:val="0"/>
          <w:spacing w:val="8"/>
          <w:sz w:val="32"/>
          <w:szCs w:val="32"/>
          <w:highlight w:val="none"/>
          <w:lang w:eastAsia="zh-CN"/>
        </w:rPr>
        <w:t>，</w:t>
      </w:r>
      <w:r>
        <w:rPr>
          <w:rFonts w:ascii="仿宋_GB2312" w:hAnsi="Microsoft YaHei UI" w:eastAsia="仿宋_GB2312" w:cs="仿宋_GB2312"/>
          <w:i w:val="0"/>
          <w:caps w:val="0"/>
          <w:spacing w:val="8"/>
          <w:sz w:val="32"/>
          <w:szCs w:val="32"/>
          <w:highlight w:val="none"/>
        </w:rPr>
        <w:t>依托大数据、大平台，探索发展全流程线上办理贷款，推广手机银行自助办理业务，</w:t>
      </w:r>
      <w:r>
        <w:rPr>
          <w:rFonts w:hint="eastAsia" w:ascii="仿宋_GB2312" w:hAnsi="Microsoft YaHei UI" w:eastAsia="仿宋_GB2312" w:cs="仿宋_GB2312"/>
          <w:i w:val="0"/>
          <w:caps w:val="0"/>
          <w:spacing w:val="8"/>
          <w:sz w:val="32"/>
          <w:szCs w:val="32"/>
          <w:highlight w:val="none"/>
          <w:lang w:val="en-US" w:eastAsia="zh-CN"/>
        </w:rPr>
        <w:t>推广省农商联合银行展业平台，推出“面对面”出额产品“苏信</w:t>
      </w:r>
      <w:r>
        <w:rPr>
          <w:rFonts w:hint="eastAsia" w:ascii="仿宋_GB2312" w:hAnsi="Microsoft YaHei UI" w:eastAsia="仿宋_GB2312" w:cs="仿宋_GB2312"/>
          <w:i w:val="0"/>
          <w:caps w:val="0"/>
          <w:color w:val="auto"/>
          <w:spacing w:val="8"/>
          <w:sz w:val="32"/>
          <w:szCs w:val="32"/>
          <w:highlight w:val="none"/>
          <w:lang w:val="en-US" w:eastAsia="zh-CN"/>
        </w:rPr>
        <w:t>贷”，</w:t>
      </w:r>
      <w:r>
        <w:rPr>
          <w:rFonts w:ascii="仿宋_GB2312" w:hAnsi="Microsoft YaHei UI" w:eastAsia="仿宋_GB2312" w:cs="仿宋_GB2312"/>
          <w:i w:val="0"/>
          <w:caps w:val="0"/>
          <w:color w:val="auto"/>
          <w:spacing w:val="8"/>
          <w:sz w:val="32"/>
          <w:szCs w:val="32"/>
          <w:highlight w:val="none"/>
        </w:rPr>
        <w:t>减</w:t>
      </w:r>
      <w:r>
        <w:rPr>
          <w:rFonts w:hint="eastAsia" w:ascii="仿宋_GB2312" w:hAnsi="Microsoft YaHei UI" w:eastAsia="仿宋_GB2312" w:cs="仿宋_GB2312"/>
          <w:i w:val="0"/>
          <w:caps w:val="0"/>
          <w:color w:val="auto"/>
          <w:spacing w:val="8"/>
          <w:sz w:val="32"/>
          <w:szCs w:val="32"/>
          <w:highlight w:val="none"/>
          <w:lang w:val="en-US" w:eastAsia="zh-CN"/>
        </w:rPr>
        <w:t>少</w:t>
      </w:r>
      <w:r>
        <w:rPr>
          <w:rFonts w:ascii="仿宋_GB2312" w:hAnsi="Microsoft YaHei UI" w:eastAsia="仿宋_GB2312" w:cs="仿宋_GB2312"/>
          <w:i w:val="0"/>
          <w:caps w:val="0"/>
          <w:color w:val="auto"/>
          <w:spacing w:val="8"/>
          <w:sz w:val="32"/>
          <w:szCs w:val="32"/>
          <w:highlight w:val="none"/>
        </w:rPr>
        <w:t>相关流程碳排放。</w:t>
      </w:r>
    </w:p>
    <w:p w14:paraId="253B9418">
      <w:pPr>
        <w:pStyle w:val="7"/>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Microsoft YaHei UI" w:eastAsia="仿宋_GB2312" w:cs="仿宋_GB2312"/>
          <w:i w:val="0"/>
          <w:caps w:val="0"/>
          <w:spacing w:val="8"/>
          <w:kern w:val="0"/>
          <w:sz w:val="32"/>
          <w:szCs w:val="32"/>
          <w:highlight w:val="none"/>
          <w:lang w:val="en-US" w:eastAsia="zh-CN" w:bidi="ar"/>
        </w:rPr>
      </w:pPr>
      <w:r>
        <w:rPr>
          <w:rFonts w:hint="eastAsia" w:ascii="仿宋_GB2312" w:hAnsi="仿宋_GB2312" w:eastAsia="仿宋_GB2312" w:cs="仿宋_GB2312"/>
          <w:b w:val="0"/>
          <w:bCs/>
          <w:color w:val="auto"/>
          <w:highlight w:val="none"/>
          <w:lang w:val="en-US" w:eastAsia="zh-CN"/>
        </w:rPr>
        <w:t>积极践行绿色发展理念，大力拓展绿色金融业务，开展绿色低碳</w:t>
      </w:r>
      <w:r>
        <w:rPr>
          <w:rFonts w:hint="eastAsia" w:ascii="仿宋_GB2312" w:hAnsi="仿宋_GB2312" w:eastAsia="仿宋_GB2312" w:cs="仿宋_GB2312"/>
          <w:color w:val="auto"/>
          <w:highlight w:val="none"/>
          <w:lang w:val="en-US" w:eastAsia="zh-CN"/>
        </w:rPr>
        <w:t>产品和服务的创新，持续推动节能降碳、绿色发展。</w:t>
      </w:r>
      <w:r>
        <w:rPr>
          <w:rFonts w:hint="eastAsia" w:ascii="仿宋_GB2312" w:hAnsi="Microsoft YaHei UI" w:eastAsia="仿宋_GB2312" w:cs="仿宋_GB2312"/>
          <w:i w:val="0"/>
          <w:caps w:val="0"/>
          <w:color w:val="auto"/>
          <w:spacing w:val="8"/>
          <w:kern w:val="0"/>
          <w:sz w:val="32"/>
          <w:szCs w:val="32"/>
          <w:highlight w:val="none"/>
          <w:lang w:val="en-US" w:eastAsia="zh-CN" w:bidi="ar"/>
        </w:rPr>
        <w:t>2024年，本行联合南京银行盐城分行、光大银行盐城分行，向黄尖镇鹤龙旅</w:t>
      </w:r>
      <w:r>
        <w:rPr>
          <w:rFonts w:hint="eastAsia" w:ascii="仿宋_GB2312" w:hAnsi="Microsoft YaHei UI" w:eastAsia="仿宋_GB2312" w:cs="仿宋_GB2312"/>
          <w:i w:val="0"/>
          <w:caps w:val="0"/>
          <w:spacing w:val="8"/>
          <w:kern w:val="0"/>
          <w:sz w:val="32"/>
          <w:szCs w:val="32"/>
          <w:highlight w:val="none"/>
          <w:lang w:val="en-US" w:eastAsia="zh-CN" w:bidi="ar"/>
        </w:rPr>
        <w:t>游发展有限公司、瑞鹤公司、金滩涂鹤龙开发公司发放短期流动贷1160万元，成为全国首批绿色普惠农业碳汇贷款。农业碳汇贷是一种创新的信贷产品，将绿色资源要素引入传统信贷体系，是在“绿色金融+普惠金融+农业碳汇”模式下融合发展的创新试点。它主要为从事农业种植或者管理的经营主体设计，具体来说，碳汇贷以高标准农田预计可实现的碳汇收益权作为质押。这这批贷款为黄尖镇持续开展生态修复、绿色人居环境的政治、农业产业融合、支持打造鸟类友好的农业生态环境等方面发挥了重要的作用。</w:t>
      </w:r>
    </w:p>
    <w:p w14:paraId="03F1776F">
      <w:pPr>
        <w:numPr>
          <w:ilvl w:val="0"/>
          <w:numId w:val="0"/>
        </w:numPr>
        <w:rPr>
          <w:rFonts w:hint="default"/>
          <w:highlight w:val="none"/>
          <w:lang w:val="en-US" w:eastAsia="zh-CN"/>
        </w:rPr>
      </w:pPr>
    </w:p>
    <w:sectPr>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Cambria Math">
    <w:panose1 w:val="02040503050406030204"/>
    <w:charset w:val="00"/>
    <w:family w:val="auto"/>
    <w:pitch w:val="default"/>
    <w:sig w:usb0="E00006FF" w:usb1="420024FF" w:usb2="02000000" w:usb3="00000000" w:csb0="2000019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F40C6">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69265" cy="2159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69265" cy="215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1CFC2">
                          <w:pPr>
                            <w:pStyle w:val="10"/>
                            <w:rPr>
                              <w:rFonts w:hint="default" w:ascii="Times New Roman" w:hAnsi="Times New Roman" w:cs="Times New Roman"/>
                              <w:sz w:val="20"/>
                              <w:szCs w:val="24"/>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7pt;width:36.95pt;mso-position-horizontal:center;mso-position-horizontal-relative:margin;z-index:251659264;mso-width-relative:page;mso-height-relative:page;" filled="f" stroked="f" coordsize="21600,21600" o:gfxdata="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IlhjDTAAAAAwEAAA8AAAAAAAAAAQAgAAAAIgAAAGRycy9kb3ducmV2Lnht&#10;bFBLAQIUABQAAAAIAIdO4kATAhhZNwIAAGEEAAAOAAAAAAAAAAEAIAAAACIBAABkcnMvZTJvRG9j&#10;LnhtbFBLBQYAAAAABgAGAFkBAADLBQAAAAA=&#10;">
              <v:fill on="f" focussize="0,0"/>
              <v:stroke on="f" weight="0.5pt"/>
              <v:imagedata o:title=""/>
              <o:lock v:ext="edit" aspectratio="f"/>
              <v:textbox inset="0mm,0mm,0mm,0mm">
                <w:txbxContent>
                  <w:p w14:paraId="3B21CFC2">
                    <w:pPr>
                      <w:pStyle w:val="10"/>
                      <w:rPr>
                        <w:rFonts w:hint="default" w:ascii="Times New Roman" w:hAnsi="Times New Roman" w:cs="Times New Roman"/>
                        <w:sz w:val="20"/>
                        <w:szCs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88B85">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AB49F1">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AB49F1">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69265" cy="2159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69265" cy="215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7DE585">
                          <w:pPr>
                            <w:pStyle w:val="10"/>
                            <w:rPr>
                              <w:rFonts w:hint="default" w:ascii="Times New Roman" w:hAnsi="Times New Roman" w:cs="Times New Roman"/>
                              <w:sz w:val="20"/>
                              <w:szCs w:val="24"/>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7pt;width:36.95pt;mso-position-horizontal:center;mso-position-horizontal-relative:margin;z-index:251660288;mso-width-relative:page;mso-height-relative:page;" filled="f" stroked="f" coordsize="21600,21600" o:gfxdata="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IlhjDTAAAAAwEAAA8AAAAAAAAAAQAgAAAAIgAAAGRycy9kb3ducmV2Lnht&#10;bFBLAQIUABQAAAAIAIdO4kBIDvP8NwIAAGEEAAAOAAAAAAAAAAEAIAAAACIBAABkcnMvZTJvRG9j&#10;LnhtbFBLBQYAAAAABgAGAFkBAADLBQAAAAA=&#10;">
              <v:fill on="f" focussize="0,0"/>
              <v:stroke on="f" weight="0.5pt"/>
              <v:imagedata o:title=""/>
              <o:lock v:ext="edit" aspectratio="f"/>
              <v:textbox inset="0mm,0mm,0mm,0mm">
                <w:txbxContent>
                  <w:p w14:paraId="597DE585">
                    <w:pPr>
                      <w:pStyle w:val="10"/>
                      <w:rPr>
                        <w:rFonts w:hint="default" w:ascii="Times New Roman" w:hAnsi="Times New Roman" w:cs="Times New Roman"/>
                        <w:sz w:val="20"/>
                        <w:szCs w:val="24"/>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360" w:lineRule="auto"/>
        <w:ind w:firstLine="640"/>
      </w:pPr>
      <w:r>
        <w:separator/>
      </w:r>
    </w:p>
  </w:footnote>
  <w:footnote w:type="continuationSeparator" w:id="3">
    <w:p>
      <w:pPr>
        <w:spacing w:line="360" w:lineRule="auto"/>
        <w:ind w:firstLine="640"/>
      </w:pPr>
      <w:r>
        <w:continuationSeparator/>
      </w:r>
    </w:p>
  </w:footnote>
  <w:footnote w:id="0">
    <w:p w14:paraId="2A470785">
      <w:pPr>
        <w:pStyle w:val="13"/>
        <w:snapToGrid w:val="0"/>
        <w:ind w:left="0" w:leftChars="0" w:firstLine="0" w:firstLineChars="0"/>
        <w:rPr>
          <w:rFonts w:hint="eastAsia"/>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F265">
    <w:pPr>
      <w:pStyle w:val="11"/>
      <w:ind w:left="0" w:leftChars="0" w:firstLine="0" w:firstLineChars="0"/>
      <w:jc w:val="center"/>
      <w:rPr>
        <w:rFonts w:hint="eastAsia" w:ascii="宋体" w:hAnsi="宋体" w:eastAsia="宋体" w:cs="宋体"/>
        <w:sz w:val="22"/>
        <w:szCs w:val="32"/>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DCAF4">
    <w:pPr>
      <w:pStyle w:val="11"/>
      <w:ind w:left="0" w:leftChars="0" w:firstLine="0" w:firstLineChars="0"/>
      <w:jc w:val="center"/>
      <w:rPr>
        <w:rFonts w:hint="eastAsia" w:ascii="宋体" w:hAnsi="宋体" w:eastAsia="宋体" w:cs="宋体"/>
        <w:sz w:val="22"/>
        <w:szCs w:val="32"/>
        <w:lang w:val="en-US" w:eastAsia="zh-CN"/>
      </w:rPr>
    </w:pPr>
    <w:r>
      <w:rPr>
        <w:rFonts w:hint="eastAsia" w:ascii="宋体" w:hAnsi="宋体" w:eastAsia="宋体" w:cs="宋体"/>
        <w:sz w:val="22"/>
        <w:szCs w:val="32"/>
        <w:lang w:val="en-US" w:eastAsia="zh-CN"/>
      </w:rPr>
      <w:t>江苏盐城农村商业银行股份有限公司</w:t>
    </w:r>
    <w:r>
      <w:rPr>
        <w:rFonts w:ascii="宋体" w:hAnsi="宋体" w:eastAsia="宋体" w:cs="宋体"/>
        <w:sz w:val="22"/>
        <w:u w:color="auto"/>
      </w:rPr>
      <w:t>环境信息披露报告（202</w:t>
    </w:r>
    <w:r>
      <w:rPr>
        <w:rFonts w:hint="eastAsia" w:ascii="宋体" w:hAnsi="宋体" w:eastAsia="宋体" w:cs="宋体"/>
        <w:sz w:val="22"/>
        <w:u w:color="auto"/>
        <w:lang w:val="en-US" w:eastAsia="zh-CN"/>
      </w:rPr>
      <w:t>4</w:t>
    </w:r>
    <w:r>
      <w:rPr>
        <w:rFonts w:ascii="宋体" w:hAnsi="宋体" w:eastAsia="宋体" w:cs="宋体"/>
        <w:sz w:val="22"/>
        <w:u w:color="auto"/>
      </w:rPr>
      <w:t>年度）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9BB87"/>
    <w:multiLevelType w:val="singleLevel"/>
    <w:tmpl w:val="9EF9BB87"/>
    <w:lvl w:ilvl="0" w:tentative="0">
      <w:start w:val="2"/>
      <w:numFmt w:val="chineseCounting"/>
      <w:suff w:val="nothing"/>
      <w:lvlText w:val="%1、"/>
      <w:lvlJc w:val="left"/>
      <w:rPr>
        <w:rFonts w:hint="eastAsia"/>
      </w:rPr>
    </w:lvl>
  </w:abstractNum>
  <w:abstractNum w:abstractNumId="1">
    <w:nsid w:val="9F12A486"/>
    <w:multiLevelType w:val="singleLevel"/>
    <w:tmpl w:val="9F12A486"/>
    <w:lvl w:ilvl="0" w:tentative="0">
      <w:start w:val="1"/>
      <w:numFmt w:val="bullet"/>
      <w:lvlText w:val=""/>
      <w:lvlJc w:val="left"/>
      <w:pPr>
        <w:ind w:left="420" w:hanging="420"/>
      </w:pPr>
      <w:rPr>
        <w:rFonts w:hint="default" w:ascii="Wingdings" w:hAnsi="Wingdings"/>
      </w:rPr>
    </w:lvl>
  </w:abstractNum>
  <w:abstractNum w:abstractNumId="2">
    <w:nsid w:val="A403A16C"/>
    <w:multiLevelType w:val="singleLevel"/>
    <w:tmpl w:val="A403A16C"/>
    <w:lvl w:ilvl="0" w:tentative="0">
      <w:start w:val="1"/>
      <w:numFmt w:val="bullet"/>
      <w:lvlText w:val=""/>
      <w:lvlJc w:val="left"/>
      <w:pPr>
        <w:ind w:left="420" w:hanging="420"/>
      </w:pPr>
      <w:rPr>
        <w:rFonts w:hint="default" w:ascii="Wingdings" w:hAnsi="Wingdings"/>
      </w:rPr>
    </w:lvl>
  </w:abstractNum>
  <w:abstractNum w:abstractNumId="3">
    <w:nsid w:val="E12E1CA4"/>
    <w:multiLevelType w:val="singleLevel"/>
    <w:tmpl w:val="E12E1CA4"/>
    <w:lvl w:ilvl="0" w:tentative="0">
      <w:start w:val="1"/>
      <w:numFmt w:val="decimal"/>
      <w:pStyle w:val="20"/>
      <w:suff w:val="nothing"/>
      <w:lvlText w:val="%1）"/>
      <w:lvlJc w:val="left"/>
    </w:lvl>
  </w:abstractNum>
  <w:abstractNum w:abstractNumId="4">
    <w:nsid w:val="0E245EE9"/>
    <w:multiLevelType w:val="multilevel"/>
    <w:tmpl w:val="0E245EE9"/>
    <w:lvl w:ilvl="0" w:tentative="0">
      <w:start w:val="1"/>
      <w:numFmt w:val="chineseCounting"/>
      <w:pStyle w:val="4"/>
      <w:lvlText w:val="%1、"/>
      <w:lvlJc w:val="left"/>
      <w:pPr>
        <w:ind w:left="432" w:hanging="432"/>
      </w:pPr>
      <w:rPr>
        <w:rFonts w:hint="eastAsia" w:ascii="黑体" w:hAnsi="黑体" w:eastAsia="黑体" w:cs="黑体"/>
        <w:b/>
        <w:bCs/>
        <w:sz w:val="32"/>
        <w:szCs w:val="32"/>
      </w:rPr>
    </w:lvl>
    <w:lvl w:ilvl="1" w:tentative="0">
      <w:start w:val="1"/>
      <w:numFmt w:val="decimal"/>
      <w:lvlText w:val="%1.%2"/>
      <w:lvlJc w:val="left"/>
      <w:pPr>
        <w:ind w:left="575" w:hanging="575"/>
      </w:pPr>
      <w:rPr>
        <w:rFonts w:hint="eastAsia" w:ascii="Times New Roman" w:hAnsi="Times New Roman" w:eastAsia="宋体" w:cs="Times New Roman"/>
        <w:b/>
      </w:rPr>
    </w:lvl>
    <w:lvl w:ilvl="2" w:tentative="0">
      <w:start w:val="1"/>
      <w:numFmt w:val="decimal"/>
      <w:lvlText w:val="%1.%2.%3"/>
      <w:lvlJc w:val="left"/>
      <w:pPr>
        <w:ind w:left="720" w:hanging="720"/>
      </w:pPr>
      <w:rPr>
        <w:rFonts w:hint="eastAsia" w:ascii="Times New Roman" w:hAnsi="Times New Roman" w:eastAsia="宋体" w:cs="Times New Roman"/>
        <w:b/>
      </w:rPr>
    </w:lvl>
    <w:lvl w:ilvl="3" w:tentative="0">
      <w:start w:val="1"/>
      <w:numFmt w:val="decimal"/>
      <w:lvlText w:val="%1.%2.%3.%4"/>
      <w:lvlJc w:val="left"/>
      <w:pPr>
        <w:ind w:left="864" w:hanging="864"/>
      </w:pPr>
      <w:rPr>
        <w:rFonts w:hint="eastAsia" w:ascii="Times New Roman" w:hAnsi="Times New Roman" w:eastAsia="宋体" w:cs="Times New Roman"/>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1" w:hanging="1151"/>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3" w:hanging="1583"/>
      </w:pPr>
      <w:rPr>
        <w:rFonts w:hint="eastAsia"/>
      </w:rPr>
    </w:lvl>
  </w:abstractNum>
  <w:abstractNum w:abstractNumId="5">
    <w:nsid w:val="21421722"/>
    <w:multiLevelType w:val="singleLevel"/>
    <w:tmpl w:val="21421722"/>
    <w:lvl w:ilvl="0" w:tentative="0">
      <w:start w:val="1"/>
      <w:numFmt w:val="decimal"/>
      <w:pStyle w:val="22"/>
      <w:lvlText w:val="表%1"/>
      <w:lvlJc w:val="left"/>
      <w:pPr>
        <w:tabs>
          <w:tab w:val="left" w:pos="420"/>
        </w:tabs>
        <w:ind w:left="0" w:leftChars="0" w:firstLine="0" w:firstLineChars="0"/>
      </w:pPr>
      <w:rPr>
        <w:rFonts w:hint="default" w:ascii="黑体" w:hAnsi="黑体" w:eastAsia="黑体" w:cs="黑体"/>
        <w:b w:val="0"/>
        <w:bCs w:val="0"/>
        <w:sz w:val="24"/>
        <w:szCs w:val="24"/>
      </w:rPr>
    </w:lvl>
  </w:abstractNum>
  <w:abstractNum w:abstractNumId="6">
    <w:nsid w:val="2645A81F"/>
    <w:multiLevelType w:val="singleLevel"/>
    <w:tmpl w:val="2645A81F"/>
    <w:lvl w:ilvl="0" w:tentative="0">
      <w:start w:val="1"/>
      <w:numFmt w:val="chineseCounting"/>
      <w:suff w:val="space"/>
      <w:lvlText w:val="第%1部分"/>
      <w:lvlJc w:val="left"/>
      <w:rPr>
        <w:rFonts w:hint="eastAsia"/>
      </w:rPr>
    </w:lvl>
  </w:abstractNum>
  <w:abstractNum w:abstractNumId="7">
    <w:nsid w:val="4DA02C8B"/>
    <w:multiLevelType w:val="singleLevel"/>
    <w:tmpl w:val="4DA02C8B"/>
    <w:lvl w:ilvl="0" w:tentative="0">
      <w:start w:val="1"/>
      <w:numFmt w:val="decimal"/>
      <w:lvlText w:val="%1."/>
      <w:lvlJc w:val="left"/>
      <w:pPr>
        <w:tabs>
          <w:tab w:val="left" w:pos="312"/>
        </w:tabs>
      </w:pPr>
    </w:lvl>
  </w:abstractNum>
  <w:abstractNum w:abstractNumId="8">
    <w:nsid w:val="55CB91DB"/>
    <w:multiLevelType w:val="singleLevel"/>
    <w:tmpl w:val="55CB91DB"/>
    <w:lvl w:ilvl="0" w:tentative="0">
      <w:start w:val="1"/>
      <w:numFmt w:val="decimal"/>
      <w:suff w:val="space"/>
      <w:lvlText w:val="（%1）"/>
      <w:lvlJc w:val="left"/>
    </w:lvl>
  </w:abstractNum>
  <w:num w:numId="1">
    <w:abstractNumId w:val="4"/>
  </w:num>
  <w:num w:numId="2">
    <w:abstractNumId w:val="3"/>
  </w:num>
  <w:num w:numId="3">
    <w:abstractNumId w:val="5"/>
  </w:num>
  <w:num w:numId="4">
    <w:abstractNumId w:val="2"/>
  </w:num>
  <w:num w:numId="5">
    <w:abstractNumId w:val="6"/>
  </w:num>
  <w:num w:numId="6">
    <w:abstractNumId w:val="0"/>
  </w:num>
  <w:num w:numId="7">
    <w:abstractNumId w:val="7"/>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iNWM4ZTRkMzMxZWMzM2IxMDc5NzU0Njk3ODNlNzAifQ=="/>
  </w:docVars>
  <w:rsids>
    <w:rsidRoot w:val="6303333B"/>
    <w:rsid w:val="010975C0"/>
    <w:rsid w:val="02CC0525"/>
    <w:rsid w:val="03667C72"/>
    <w:rsid w:val="042F5BEA"/>
    <w:rsid w:val="044E37B1"/>
    <w:rsid w:val="04575AAE"/>
    <w:rsid w:val="05AB6AB3"/>
    <w:rsid w:val="05C41B6E"/>
    <w:rsid w:val="05E83D0D"/>
    <w:rsid w:val="064B7047"/>
    <w:rsid w:val="06722D09"/>
    <w:rsid w:val="07855EE5"/>
    <w:rsid w:val="08894474"/>
    <w:rsid w:val="08F80F83"/>
    <w:rsid w:val="094321B6"/>
    <w:rsid w:val="098A46BA"/>
    <w:rsid w:val="09A45C60"/>
    <w:rsid w:val="09CE646F"/>
    <w:rsid w:val="09D17CBB"/>
    <w:rsid w:val="09EA50CF"/>
    <w:rsid w:val="0B542123"/>
    <w:rsid w:val="0BFA2725"/>
    <w:rsid w:val="0E837D5C"/>
    <w:rsid w:val="117B4866"/>
    <w:rsid w:val="124268B7"/>
    <w:rsid w:val="125C296C"/>
    <w:rsid w:val="13143247"/>
    <w:rsid w:val="134947B2"/>
    <w:rsid w:val="13972D20"/>
    <w:rsid w:val="13C22CA3"/>
    <w:rsid w:val="13D6569B"/>
    <w:rsid w:val="14100CF8"/>
    <w:rsid w:val="160D396B"/>
    <w:rsid w:val="1649189C"/>
    <w:rsid w:val="16A36AB3"/>
    <w:rsid w:val="17171557"/>
    <w:rsid w:val="1A79617E"/>
    <w:rsid w:val="1B7969CC"/>
    <w:rsid w:val="1BE10B85"/>
    <w:rsid w:val="1D5B4DAB"/>
    <w:rsid w:val="1E7159F1"/>
    <w:rsid w:val="1F4E5FB5"/>
    <w:rsid w:val="20561A3E"/>
    <w:rsid w:val="20E85154"/>
    <w:rsid w:val="227C1D21"/>
    <w:rsid w:val="22873A3F"/>
    <w:rsid w:val="22965BB2"/>
    <w:rsid w:val="23626E9E"/>
    <w:rsid w:val="23D15E6F"/>
    <w:rsid w:val="23DB76DF"/>
    <w:rsid w:val="244C4A5B"/>
    <w:rsid w:val="24AF6C54"/>
    <w:rsid w:val="24EF75A7"/>
    <w:rsid w:val="25394374"/>
    <w:rsid w:val="259D5D30"/>
    <w:rsid w:val="2604634A"/>
    <w:rsid w:val="28DC605B"/>
    <w:rsid w:val="2AB70DB5"/>
    <w:rsid w:val="2B9F73A1"/>
    <w:rsid w:val="2CA60F5C"/>
    <w:rsid w:val="2CA73331"/>
    <w:rsid w:val="2DFC73AE"/>
    <w:rsid w:val="2FD9510C"/>
    <w:rsid w:val="302D3CB0"/>
    <w:rsid w:val="30737D00"/>
    <w:rsid w:val="30753274"/>
    <w:rsid w:val="32710F66"/>
    <w:rsid w:val="350E769E"/>
    <w:rsid w:val="35B21912"/>
    <w:rsid w:val="35BA13B5"/>
    <w:rsid w:val="36427002"/>
    <w:rsid w:val="37006663"/>
    <w:rsid w:val="3718735B"/>
    <w:rsid w:val="383E029A"/>
    <w:rsid w:val="388D35A1"/>
    <w:rsid w:val="38C500B3"/>
    <w:rsid w:val="395D29A2"/>
    <w:rsid w:val="3A267B79"/>
    <w:rsid w:val="3A5B3385"/>
    <w:rsid w:val="3BD153C0"/>
    <w:rsid w:val="3C635FA0"/>
    <w:rsid w:val="3D6A5ADB"/>
    <w:rsid w:val="3F3D66CD"/>
    <w:rsid w:val="3F7F098E"/>
    <w:rsid w:val="40056A49"/>
    <w:rsid w:val="4011055D"/>
    <w:rsid w:val="40A31D0D"/>
    <w:rsid w:val="417425EE"/>
    <w:rsid w:val="41831BF9"/>
    <w:rsid w:val="41B75ADD"/>
    <w:rsid w:val="426C79D4"/>
    <w:rsid w:val="429A3B51"/>
    <w:rsid w:val="42BE1675"/>
    <w:rsid w:val="42BF1B92"/>
    <w:rsid w:val="42CF2B62"/>
    <w:rsid w:val="43873B5A"/>
    <w:rsid w:val="44FA58F3"/>
    <w:rsid w:val="45B55914"/>
    <w:rsid w:val="45E06E35"/>
    <w:rsid w:val="46023C90"/>
    <w:rsid w:val="466320DD"/>
    <w:rsid w:val="470F78A3"/>
    <w:rsid w:val="47541160"/>
    <w:rsid w:val="498615B1"/>
    <w:rsid w:val="49920446"/>
    <w:rsid w:val="4ADE3D60"/>
    <w:rsid w:val="4B5866BB"/>
    <w:rsid w:val="4BC7673B"/>
    <w:rsid w:val="4C07336D"/>
    <w:rsid w:val="4C2D000E"/>
    <w:rsid w:val="4C6A25EE"/>
    <w:rsid w:val="4CD4436F"/>
    <w:rsid w:val="4D2910C1"/>
    <w:rsid w:val="4F0B1ED3"/>
    <w:rsid w:val="4FE17A31"/>
    <w:rsid w:val="506037C2"/>
    <w:rsid w:val="51B836A1"/>
    <w:rsid w:val="53980D4F"/>
    <w:rsid w:val="54311EC9"/>
    <w:rsid w:val="555326DE"/>
    <w:rsid w:val="55CD036C"/>
    <w:rsid w:val="55F231C8"/>
    <w:rsid w:val="5640122A"/>
    <w:rsid w:val="582C1303"/>
    <w:rsid w:val="587C6F18"/>
    <w:rsid w:val="587D742F"/>
    <w:rsid w:val="59291EDE"/>
    <w:rsid w:val="5AFC6067"/>
    <w:rsid w:val="5B532434"/>
    <w:rsid w:val="5B542A22"/>
    <w:rsid w:val="5C98591B"/>
    <w:rsid w:val="5D5D3077"/>
    <w:rsid w:val="5DEF178D"/>
    <w:rsid w:val="5FC07536"/>
    <w:rsid w:val="60B02F1F"/>
    <w:rsid w:val="61A429C0"/>
    <w:rsid w:val="61B718FE"/>
    <w:rsid w:val="628D1982"/>
    <w:rsid w:val="6303333B"/>
    <w:rsid w:val="63165E15"/>
    <w:rsid w:val="63872B56"/>
    <w:rsid w:val="63A5057B"/>
    <w:rsid w:val="63AA400F"/>
    <w:rsid w:val="64E9783C"/>
    <w:rsid w:val="652526C8"/>
    <w:rsid w:val="658D4707"/>
    <w:rsid w:val="65A92F30"/>
    <w:rsid w:val="66E0203A"/>
    <w:rsid w:val="677E6F80"/>
    <w:rsid w:val="67CE3A34"/>
    <w:rsid w:val="68A610C0"/>
    <w:rsid w:val="69511253"/>
    <w:rsid w:val="698044A5"/>
    <w:rsid w:val="69903F17"/>
    <w:rsid w:val="699B4C9D"/>
    <w:rsid w:val="6A070584"/>
    <w:rsid w:val="6BDD6577"/>
    <w:rsid w:val="6C460529"/>
    <w:rsid w:val="6CC34A1C"/>
    <w:rsid w:val="6DEF3809"/>
    <w:rsid w:val="6F0478FC"/>
    <w:rsid w:val="6F404ADE"/>
    <w:rsid w:val="6F896F89"/>
    <w:rsid w:val="70606FEC"/>
    <w:rsid w:val="70E546B3"/>
    <w:rsid w:val="711C5B74"/>
    <w:rsid w:val="71722787"/>
    <w:rsid w:val="732A747F"/>
    <w:rsid w:val="742375AA"/>
    <w:rsid w:val="757A34CC"/>
    <w:rsid w:val="75E21F54"/>
    <w:rsid w:val="76077CC4"/>
    <w:rsid w:val="76A71125"/>
    <w:rsid w:val="76C61E69"/>
    <w:rsid w:val="789E0EDE"/>
    <w:rsid w:val="78DA18D4"/>
    <w:rsid w:val="78E92FE5"/>
    <w:rsid w:val="7AE25ADA"/>
    <w:rsid w:val="7B972E41"/>
    <w:rsid w:val="7B9A1687"/>
    <w:rsid w:val="7B9E6618"/>
    <w:rsid w:val="7C1A7128"/>
    <w:rsid w:val="7D753383"/>
    <w:rsid w:val="7DCE0602"/>
    <w:rsid w:val="7E926217"/>
    <w:rsid w:val="7F066B16"/>
    <w:rsid w:val="7F5D7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03" w:firstLineChars="200"/>
      <w:jc w:val="both"/>
    </w:pPr>
    <w:rPr>
      <w:rFonts w:eastAsia="方正仿宋_GBK" w:asciiTheme="minorAscii" w:hAnsiTheme="minorAscii" w:cstheme="minorBidi"/>
      <w:kern w:val="2"/>
      <w:sz w:val="32"/>
      <w:szCs w:val="22"/>
      <w:lang w:val="en-US" w:eastAsia="zh-CN" w:bidi="ar-SA"/>
    </w:rPr>
  </w:style>
  <w:style w:type="paragraph" w:styleId="4">
    <w:name w:val="heading 1"/>
    <w:next w:val="1"/>
    <w:qFormat/>
    <w:uiPriority w:val="0"/>
    <w:pPr>
      <w:keepNext/>
      <w:keepLines/>
      <w:numPr>
        <w:ilvl w:val="0"/>
        <w:numId w:val="1"/>
      </w:numPr>
      <w:spacing w:beforeLines="0" w:beforeAutospacing="0" w:afterLines="0" w:afterAutospacing="0" w:line="360" w:lineRule="auto"/>
      <w:ind w:left="432" w:hanging="432" w:firstLineChars="0"/>
      <w:jc w:val="left"/>
      <w:outlineLvl w:val="0"/>
    </w:pPr>
    <w:rPr>
      <w:rFonts w:ascii="Times New Roman" w:hAnsi="Times New Roman" w:eastAsia="方正黑体_GBK" w:cstheme="minorBidi"/>
      <w:b/>
      <w:kern w:val="44"/>
      <w:sz w:val="32"/>
    </w:rPr>
  </w:style>
  <w:style w:type="paragraph" w:styleId="5">
    <w:name w:val="heading 3"/>
    <w:basedOn w:val="1"/>
    <w:next w:val="1"/>
    <w:unhideWhenUsed/>
    <w:qFormat/>
    <w:uiPriority w:val="1"/>
    <w:pPr>
      <w:widowControl w:val="0"/>
      <w:jc w:val="both"/>
      <w:outlineLvl w:val="2"/>
    </w:pPr>
    <w:rPr>
      <w:rFonts w:ascii="仿宋_GB2312" w:hAnsi="仿宋_GB2312" w:eastAsia="仿宋_GB2312" w:cs="Times New Roman"/>
      <w:kern w:val="0"/>
      <w:sz w:val="21"/>
      <w:szCs w:val="24"/>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10"/>
    <w:pPr>
      <w:widowControl w:val="0"/>
      <w:jc w:val="center"/>
      <w:outlineLvl w:val="0"/>
    </w:pPr>
    <w:rPr>
      <w:rFonts w:ascii="Arial" w:hAnsi="Arial" w:eastAsia="宋体" w:cs="Times New Roman"/>
      <w:b/>
      <w:kern w:val="2"/>
      <w:sz w:val="32"/>
      <w:szCs w:val="20"/>
    </w:rPr>
  </w:style>
  <w:style w:type="paragraph" w:customStyle="1" w:styleId="3">
    <w:name w:val="正文文本缩进1"/>
    <w:basedOn w:val="1"/>
    <w:qFormat/>
    <w:uiPriority w:val="0"/>
    <w:pPr>
      <w:widowControl w:val="0"/>
      <w:spacing w:after="120"/>
      <w:ind w:left="420" w:leftChars="200"/>
      <w:jc w:val="both"/>
    </w:pPr>
    <w:rPr>
      <w:rFonts w:ascii="Times New Roman" w:hAnsi="Times New Roman" w:eastAsia="宋体" w:cs="Times New Roman"/>
      <w:color w:val="auto"/>
      <w:kern w:val="2"/>
      <w:sz w:val="21"/>
      <w:szCs w:val="24"/>
    </w:rPr>
  </w:style>
  <w:style w:type="paragraph" w:styleId="6">
    <w:name w:val="annotation text"/>
    <w:basedOn w:val="1"/>
    <w:qFormat/>
    <w:uiPriority w:val="0"/>
    <w:pPr>
      <w:jc w:val="left"/>
    </w:pPr>
  </w:style>
  <w:style w:type="paragraph" w:styleId="7">
    <w:name w:val="Body Text"/>
    <w:basedOn w:val="1"/>
    <w:next w:val="8"/>
    <w:unhideWhenUsed/>
    <w:qFormat/>
    <w:uiPriority w:val="99"/>
    <w:pPr>
      <w:spacing w:after="120"/>
    </w:pPr>
  </w:style>
  <w:style w:type="paragraph" w:customStyle="1" w:styleId="8">
    <w:name w:val="列出段落1"/>
    <w:basedOn w:val="1"/>
    <w:qFormat/>
    <w:uiPriority w:val="0"/>
    <w:pPr>
      <w:ind w:firstLine="420"/>
    </w:pPr>
    <w:rPr>
      <w:rFonts w:ascii="Times New Roman" w:hAnsi="Times New Roman"/>
    </w:rPr>
  </w:style>
  <w:style w:type="paragraph" w:styleId="9">
    <w:name w:val="Body Text Indent 2"/>
    <w:basedOn w:val="1"/>
    <w:qFormat/>
    <w:uiPriority w:val="99"/>
    <w:pPr>
      <w:widowControl w:val="0"/>
      <w:spacing w:line="540" w:lineRule="exact"/>
      <w:ind w:firstLine="600" w:firstLineChars="200"/>
      <w:jc w:val="both"/>
    </w:pPr>
    <w:rPr>
      <w:rFonts w:ascii="仿宋_GB2312" w:hAnsi="Calibri" w:eastAsia="仿宋_GB2312" w:cs="Times New Roman"/>
      <w:kern w:val="2"/>
      <w:sz w:val="30"/>
      <w:szCs w:val="3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footnote text"/>
    <w:basedOn w:val="1"/>
    <w:qFormat/>
    <w:uiPriority w:val="0"/>
    <w:pPr>
      <w:snapToGrid w:val="0"/>
      <w:jc w:val="left"/>
    </w:pPr>
    <w:rPr>
      <w:sz w:val="18"/>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footnote reference"/>
    <w:basedOn w:val="18"/>
    <w:qFormat/>
    <w:uiPriority w:val="0"/>
    <w:rPr>
      <w:vertAlign w:val="superscript"/>
    </w:rPr>
  </w:style>
  <w:style w:type="paragraph" w:customStyle="1" w:styleId="20">
    <w:name w:val="大标题"/>
    <w:basedOn w:val="1"/>
    <w:qFormat/>
    <w:uiPriority w:val="0"/>
    <w:pPr>
      <w:numPr>
        <w:ilvl w:val="0"/>
        <w:numId w:val="2"/>
      </w:numPr>
      <w:jc w:val="center"/>
    </w:pPr>
    <w:rPr>
      <w:rFonts w:eastAsia="方正小标宋_GBK" w:cs="Times New Roman"/>
      <w:b/>
      <w:sz w:val="44"/>
    </w:rPr>
  </w:style>
  <w:style w:type="paragraph" w:customStyle="1" w:styleId="21">
    <w:name w:val="表内格式"/>
    <w:basedOn w:val="1"/>
    <w:qFormat/>
    <w:uiPriority w:val="0"/>
    <w:pPr>
      <w:spacing w:line="240" w:lineRule="auto"/>
      <w:ind w:firstLine="0" w:firstLineChars="0"/>
      <w:jc w:val="both"/>
    </w:pPr>
    <w:rPr>
      <w:sz w:val="24"/>
    </w:rPr>
  </w:style>
  <w:style w:type="paragraph" w:customStyle="1" w:styleId="22">
    <w:name w:val="表格标题"/>
    <w:basedOn w:val="1"/>
    <w:qFormat/>
    <w:uiPriority w:val="0"/>
    <w:pPr>
      <w:numPr>
        <w:ilvl w:val="0"/>
        <w:numId w:val="3"/>
      </w:numPr>
      <w:spacing w:line="240" w:lineRule="auto"/>
      <w:ind w:left="0" w:firstLine="0" w:firstLineChars="0"/>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wmf"/><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9744</Words>
  <Characters>10447</Characters>
  <Lines>0</Lines>
  <Paragraphs>0</Paragraphs>
  <TotalTime>3</TotalTime>
  <ScaleCrop>false</ScaleCrop>
  <LinksUpToDate>false</LinksUpToDate>
  <CharactersWithSpaces>10527</CharactersWithSpaces>
  <Application>WPS Office_12.8.2.20324_F1E327BC-269C-435d-A152-05C5408002CA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2024-09-23T13:38:00Z</dcterms:created>
  <dc:creator>USER</dc:creator>
  <cp:lastModifiedBy>杨哲</cp:lastModifiedBy>
  <cp:lastPrinted>2025-05-28T02:30:00Z</cp:lastPrinted>
  <dcterms:modified xsi:type="dcterms:W3CDTF">2025-12-04T08:46:52Z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2052-12.8.2.20324</vt:lpwstr>
  </property>
  <property fmtid="{D5CDD505-2E9C-101B-9397-08002B2CF9AE}" pid="3" name="ICV">
    <vt:lpwstr>93EC1A19D40C417CB48E0774A7288ACE</vt:lpwstr>
  </property>
</Properties>
</file>