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D1BAE">
      <w:pPr>
        <w:keepNext w:val="0"/>
        <w:keepLines w:val="0"/>
        <w:pageBreakBefore w:val="0"/>
        <w:widowControl w:val="0"/>
        <w:kinsoku/>
        <w:wordWrap/>
        <w:overflowPunct w:val="0"/>
        <w:topLinePunct/>
        <w:autoSpaceDE/>
        <w:autoSpaceDN/>
        <w:bidi w:val="0"/>
        <w:adjustRightInd/>
        <w:snapToGrid/>
        <w:spacing w:line="560" w:lineRule="exact"/>
        <w:jc w:val="center"/>
        <w:textAlignment w:val="auto"/>
        <w:rPr>
          <w:rFonts w:hint="eastAsia" w:ascii="宋体" w:hAnsi="宋体" w:eastAsia="宋体" w:cs="宋体"/>
          <w:b/>
          <w:bCs/>
          <w:sz w:val="44"/>
          <w:szCs w:val="44"/>
        </w:rPr>
      </w:pPr>
    </w:p>
    <w:p w14:paraId="7AC2096B">
      <w:pPr>
        <w:keepNext w:val="0"/>
        <w:keepLines w:val="0"/>
        <w:pageBreakBefore w:val="0"/>
        <w:widowControl w:val="0"/>
        <w:kinsoku/>
        <w:wordWrap/>
        <w:overflowPunct w:val="0"/>
        <w:topLinePunct/>
        <w:autoSpaceDE/>
        <w:autoSpaceDN/>
        <w:bidi w:val="0"/>
        <w:adjustRightInd/>
        <w:snapToGrid/>
        <w:spacing w:line="560" w:lineRule="exact"/>
        <w:jc w:val="center"/>
        <w:textAlignment w:val="auto"/>
        <w:rPr>
          <w:rFonts w:hint="eastAsia" w:ascii="宋体" w:hAnsi="宋体" w:eastAsia="宋体" w:cs="宋体"/>
          <w:b/>
          <w:bCs/>
          <w:sz w:val="44"/>
          <w:szCs w:val="44"/>
        </w:rPr>
      </w:pPr>
      <w:r>
        <w:rPr>
          <w:rFonts w:hint="eastAsia" w:ascii="宋体" w:hAnsi="宋体" w:cs="宋体"/>
          <w:b/>
          <w:bCs/>
          <w:sz w:val="44"/>
          <w:szCs w:val="44"/>
          <w:lang w:val="en-US" w:eastAsia="zh-CN"/>
        </w:rPr>
        <w:t>盐城农商银行</w:t>
      </w:r>
      <w:r>
        <w:rPr>
          <w:rFonts w:hint="eastAsia" w:ascii="宋体" w:hAnsi="宋体" w:eastAsia="宋体" w:cs="宋体"/>
          <w:b/>
          <w:bCs/>
          <w:sz w:val="44"/>
          <w:szCs w:val="44"/>
        </w:rPr>
        <w:t>202</w:t>
      </w:r>
      <w:r>
        <w:rPr>
          <w:rFonts w:hint="eastAsia" w:ascii="宋体" w:hAnsi="宋体" w:cs="宋体"/>
          <w:b/>
          <w:bCs/>
          <w:sz w:val="44"/>
          <w:szCs w:val="44"/>
          <w:lang w:val="en-US" w:eastAsia="zh-CN"/>
        </w:rPr>
        <w:t>4</w:t>
      </w:r>
      <w:r>
        <w:rPr>
          <w:rFonts w:hint="eastAsia" w:ascii="宋体" w:hAnsi="宋体" w:eastAsia="宋体" w:cs="宋体"/>
          <w:b/>
          <w:bCs/>
          <w:sz w:val="44"/>
          <w:szCs w:val="44"/>
        </w:rPr>
        <w:t>年度社会责任报告</w:t>
      </w:r>
    </w:p>
    <w:p w14:paraId="2BF50CFF">
      <w:pPr>
        <w:keepNext w:val="0"/>
        <w:keepLines w:val="0"/>
        <w:pageBreakBefore w:val="0"/>
        <w:widowControl w:val="0"/>
        <w:kinsoku/>
        <w:wordWrap/>
        <w:overflowPunct w:val="0"/>
        <w:topLinePunct/>
        <w:autoSpaceDE/>
        <w:autoSpaceDN/>
        <w:bidi w:val="0"/>
        <w:adjustRightInd/>
        <w:snapToGrid/>
        <w:spacing w:line="560" w:lineRule="exact"/>
        <w:jc w:val="center"/>
        <w:textAlignment w:val="auto"/>
        <w:rPr>
          <w:rFonts w:ascii="楷体_GB2312" w:eastAsia="楷体_GB2312"/>
          <w:sz w:val="44"/>
          <w:szCs w:val="44"/>
        </w:rPr>
      </w:pPr>
    </w:p>
    <w:p w14:paraId="55EFB8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val="en-US" w:eastAsia="zh-CN"/>
        </w:rPr>
        <w:t>2024年，</w:t>
      </w:r>
      <w:r>
        <w:rPr>
          <w:rFonts w:hint="eastAsia" w:ascii="仿宋_GB2312" w:hAnsi="仿宋_GB2312" w:eastAsia="仿宋_GB2312" w:cs="仿宋_GB2312"/>
          <w:sz w:val="32"/>
          <w:szCs w:val="32"/>
          <w:highlight w:val="none"/>
        </w:rPr>
        <w:t>盐城农商银行</w:t>
      </w:r>
      <w:r>
        <w:rPr>
          <w:rFonts w:hint="eastAsia" w:ascii="仿宋_GB2312" w:hAnsi="仿宋_GB2312" w:eastAsia="仿宋_GB2312" w:cs="仿宋_GB2312"/>
          <w:color w:val="000000"/>
          <w:kern w:val="0"/>
          <w:sz w:val="32"/>
          <w:szCs w:val="32"/>
        </w:rPr>
        <w:t>（以下简称“本行”）</w:t>
      </w:r>
      <w:r>
        <w:rPr>
          <w:rFonts w:hint="eastAsia" w:ascii="仿宋_GB2312" w:hAnsi="仿宋_GB2312" w:eastAsia="仿宋_GB2312" w:cs="仿宋_GB2312"/>
          <w:color w:val="0C0C0C"/>
          <w:spacing w:val="0"/>
          <w:w w:val="100"/>
          <w:kern w:val="0"/>
          <w:sz w:val="32"/>
          <w:szCs w:val="32"/>
          <w:highlight w:val="none"/>
          <w:lang w:eastAsia="zh-CN"/>
        </w:rPr>
        <w:t>坚持以习近平新时代中国特色社会主义思想为指导，深入学习贯彻党的二十大和二十届二中、三中全会精神</w:t>
      </w:r>
      <w:r>
        <w:rPr>
          <w:rFonts w:hint="eastAsia" w:ascii="仿宋_GB2312" w:hAnsi="仿宋_GB2312" w:eastAsia="仿宋_GB2312" w:cs="仿宋_GB2312"/>
          <w:color w:val="0C0C0C"/>
          <w:spacing w:val="0"/>
          <w:w w:val="100"/>
          <w:kern w:val="0"/>
          <w:sz w:val="32"/>
          <w:szCs w:val="32"/>
          <w:highlight w:val="none"/>
          <w:lang w:val="en-US" w:eastAsia="zh-CN" w:bidi="ar-SA"/>
        </w:rPr>
        <w:t>，认真</w:t>
      </w:r>
      <w:r>
        <w:rPr>
          <w:rFonts w:hint="eastAsia" w:ascii="仿宋_GB2312" w:hAnsi="仿宋_GB2312" w:eastAsia="仿宋_GB2312" w:cs="仿宋_GB2312"/>
          <w:color w:val="0C0C0C"/>
          <w:spacing w:val="0"/>
          <w:w w:val="100"/>
          <w:kern w:val="0"/>
          <w:sz w:val="32"/>
          <w:szCs w:val="32"/>
          <w:highlight w:val="none"/>
          <w:lang w:eastAsia="zh-CN"/>
        </w:rPr>
        <w:t>落实市委、市政府</w:t>
      </w:r>
      <w:r>
        <w:rPr>
          <w:rFonts w:hint="eastAsia" w:ascii="仿宋_GB2312" w:hAnsi="仿宋_GB2312" w:eastAsia="仿宋_GB2312" w:cs="仿宋_GB2312"/>
          <w:color w:val="0C0C0C"/>
          <w:spacing w:val="0"/>
          <w:w w:val="100"/>
          <w:kern w:val="0"/>
          <w:sz w:val="32"/>
          <w:szCs w:val="32"/>
          <w:highlight w:val="none"/>
          <w:lang w:val="en-US" w:eastAsia="zh-CN"/>
        </w:rPr>
        <w:t>和省联社</w:t>
      </w:r>
      <w:r>
        <w:rPr>
          <w:rFonts w:hint="eastAsia" w:ascii="仿宋_GB2312" w:hAnsi="仿宋_GB2312" w:eastAsia="仿宋_GB2312" w:cs="仿宋_GB2312"/>
          <w:color w:val="0C0C0C"/>
          <w:spacing w:val="0"/>
          <w:w w:val="100"/>
          <w:kern w:val="0"/>
          <w:sz w:val="32"/>
          <w:szCs w:val="32"/>
          <w:highlight w:val="none"/>
          <w:lang w:eastAsia="zh-CN"/>
        </w:rPr>
        <w:t>决策部署，</w:t>
      </w:r>
      <w:r>
        <w:rPr>
          <w:rFonts w:hint="eastAsia" w:ascii="仿宋_GB2312" w:hAnsi="仿宋_GB2312" w:eastAsia="仿宋_GB2312" w:cs="仿宋_GB2312"/>
          <w:sz w:val="32"/>
          <w:szCs w:val="32"/>
          <w:highlight w:val="none"/>
        </w:rPr>
        <w:t>助力盐城高质量建设绿色低碳发展示范区，</w:t>
      </w:r>
      <w:r>
        <w:rPr>
          <w:rFonts w:hint="eastAsia" w:ascii="仿宋_GB2312" w:hAnsi="仿宋_GB2312" w:eastAsia="仿宋_GB2312" w:cs="仿宋_GB2312"/>
          <w:sz w:val="32"/>
          <w:szCs w:val="32"/>
          <w:highlight w:val="none"/>
          <w:lang w:val="en-US" w:eastAsia="zh-CN"/>
        </w:rPr>
        <w:t>奋力</w:t>
      </w:r>
      <w:r>
        <w:rPr>
          <w:rFonts w:hint="eastAsia" w:ascii="仿宋_GB2312" w:hAnsi="仿宋_GB2312" w:eastAsia="仿宋_GB2312" w:cs="仿宋_GB2312"/>
          <w:sz w:val="32"/>
          <w:szCs w:val="32"/>
          <w:highlight w:val="none"/>
        </w:rPr>
        <w:t>谱写“强富美高”新盐城现代化建设新篇章</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kern w:val="0"/>
          <w:sz w:val="32"/>
          <w:szCs w:val="32"/>
        </w:rPr>
        <w:t>现将</w:t>
      </w:r>
      <w:r>
        <w:rPr>
          <w:rFonts w:hint="eastAsia" w:ascii="仿宋_GB2312" w:hAnsi="仿宋_GB2312" w:eastAsia="仿宋_GB2312" w:cs="仿宋_GB2312"/>
          <w:color w:val="000000"/>
          <w:kern w:val="0"/>
          <w:sz w:val="32"/>
          <w:szCs w:val="32"/>
          <w:lang w:val="en-US" w:eastAsia="zh-CN"/>
        </w:rPr>
        <w:t>本</w:t>
      </w:r>
      <w:r>
        <w:rPr>
          <w:rFonts w:hint="eastAsia" w:ascii="仿宋_GB2312" w:hAnsi="仿宋_GB2312" w:eastAsia="仿宋_GB2312" w:cs="仿宋_GB2312"/>
          <w:color w:val="000000"/>
          <w:kern w:val="0"/>
          <w:sz w:val="32"/>
          <w:szCs w:val="32"/>
        </w:rPr>
        <w:t>行202</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年度在经济、社会、环境</w:t>
      </w:r>
      <w:r>
        <w:rPr>
          <w:rFonts w:hint="eastAsia" w:ascii="仿宋_GB2312" w:hAnsi="仿宋_GB2312" w:eastAsia="仿宋_GB2312" w:cs="仿宋_GB2312"/>
          <w:color w:val="000000"/>
          <w:kern w:val="0"/>
          <w:sz w:val="32"/>
          <w:szCs w:val="32"/>
          <w:lang w:val="en-US" w:eastAsia="zh-CN"/>
        </w:rPr>
        <w:t>等</w:t>
      </w:r>
      <w:r>
        <w:rPr>
          <w:rFonts w:hint="eastAsia" w:ascii="仿宋_GB2312" w:hAnsi="仿宋_GB2312" w:eastAsia="仿宋_GB2312" w:cs="仿宋_GB2312"/>
          <w:color w:val="000000"/>
          <w:kern w:val="0"/>
          <w:sz w:val="32"/>
          <w:szCs w:val="32"/>
        </w:rPr>
        <w:t>方面所做的努力和取得的</w:t>
      </w:r>
      <w:r>
        <w:rPr>
          <w:rFonts w:hint="eastAsia" w:ascii="仿宋_GB2312" w:hAnsi="仿宋_GB2312" w:eastAsia="仿宋_GB2312" w:cs="仿宋_GB2312"/>
          <w:color w:val="000000"/>
          <w:kern w:val="0"/>
          <w:sz w:val="32"/>
          <w:szCs w:val="32"/>
          <w:lang w:val="en-US" w:eastAsia="zh-CN"/>
        </w:rPr>
        <w:t>成绩</w:t>
      </w:r>
      <w:r>
        <w:rPr>
          <w:rFonts w:hint="eastAsia" w:ascii="仿宋_GB2312" w:hAnsi="仿宋_GB2312" w:eastAsia="仿宋_GB2312" w:cs="仿宋_GB2312"/>
          <w:color w:val="000000"/>
          <w:kern w:val="0"/>
          <w:sz w:val="32"/>
          <w:szCs w:val="32"/>
        </w:rPr>
        <w:t>，以及在提供金融服务基础上对社会责任的承担和可持续发展理念的实践情况报告如下</w:t>
      </w:r>
      <w:r>
        <w:rPr>
          <w:rFonts w:hint="eastAsia" w:ascii="仿宋_GB2312" w:hAnsi="仿宋_GB2312" w:eastAsia="仿宋_GB2312" w:cs="仿宋_GB2312"/>
          <w:color w:val="000000"/>
          <w:kern w:val="0"/>
          <w:sz w:val="32"/>
          <w:szCs w:val="32"/>
          <w:lang w:eastAsia="zh-CN"/>
        </w:rPr>
        <w:t>。</w:t>
      </w:r>
    </w:p>
    <w:p w14:paraId="2DE32961">
      <w:pPr>
        <w:pStyle w:val="10"/>
        <w:keepNext w:val="0"/>
        <w:keepLines w:val="0"/>
        <w:pageBreakBefore w:val="0"/>
        <w:numPr>
          <w:ilvl w:val="0"/>
          <w:numId w:val="0"/>
        </w:numPr>
        <w:kinsoku/>
        <w:wordWrap/>
        <w:overflowPunct/>
        <w:topLinePunct w:val="0"/>
        <w:bidi w:val="0"/>
        <w:snapToGrid/>
        <w:spacing w:before="0" w:beforeAutospacing="0" w:after="0" w:afterAutospacing="0"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一、基本情况</w:t>
      </w:r>
    </w:p>
    <w:p w14:paraId="1E2336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highlight w:val="none"/>
          <w:lang w:val="en-US" w:eastAsia="zh-CN"/>
        </w:rPr>
      </w:pPr>
      <w:r>
        <w:rPr>
          <w:rFonts w:hint="eastAsia" w:ascii="仿宋_GB2312" w:hAnsi="仿宋_GB2312" w:eastAsia="仿宋_GB2312" w:cs="仿宋_GB2312"/>
          <w:sz w:val="32"/>
          <w:szCs w:val="32"/>
        </w:rPr>
        <w:t>盐城农商银行</w:t>
      </w:r>
      <w:r>
        <w:rPr>
          <w:rFonts w:hint="eastAsia" w:ascii="仿宋_GB2312" w:hAnsi="仿宋_GB2312" w:eastAsia="仿宋_GB2312" w:cs="仿宋_GB2312"/>
          <w:sz w:val="32"/>
          <w:szCs w:val="32"/>
          <w:highlight w:val="none"/>
        </w:rPr>
        <w:t>前身为盐城市区信用联社，2010年5月26日，开业成立黄海农商银行；2015年3月16日，更名为盐城农商银行；2011年对盐城响水农商银行和滨海农商银行实施战略投资；2012年在江西省萍乡市湘东区发起设立黄海村镇银行；2018年投资徐州新沂农商银行；2019年入股</w:t>
      </w:r>
      <w:r>
        <w:rPr>
          <w:rFonts w:hint="eastAsia" w:ascii="仿宋_GB2312" w:hAnsi="仿宋_GB2312" w:eastAsia="仿宋_GB2312" w:cs="仿宋_GB2312"/>
          <w:sz w:val="32"/>
          <w:szCs w:val="32"/>
          <w:highlight w:val="none"/>
          <w:lang w:val="en-US" w:eastAsia="zh-CN"/>
        </w:rPr>
        <w:t>盐城</w:t>
      </w:r>
      <w:r>
        <w:rPr>
          <w:rFonts w:hint="eastAsia" w:ascii="仿宋_GB2312" w:hAnsi="仿宋_GB2312" w:eastAsia="仿宋_GB2312" w:cs="仿宋_GB2312"/>
          <w:sz w:val="32"/>
          <w:szCs w:val="32"/>
          <w:highlight w:val="none"/>
        </w:rPr>
        <w:t>阜宁农商银行；202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年对</w:t>
      </w:r>
      <w:r>
        <w:rPr>
          <w:rFonts w:hint="eastAsia" w:ascii="仿宋_GB2312" w:eastAsia="仿宋_GB2312" w:cs="仿宋_GB2312"/>
          <w:bCs/>
          <w:kern w:val="0"/>
          <w:sz w:val="32"/>
          <w:szCs w:val="32"/>
          <w:highlight w:val="none"/>
        </w:rPr>
        <w:t>连云港东方农商银行实施战略投资，至目前持股比例分别为：15.38%、11.26%、20%、8.92%、9.99%。</w:t>
      </w:r>
      <w:r>
        <w:rPr>
          <w:rFonts w:hint="eastAsia" w:ascii="仿宋_GB2312" w:hAnsi="仿宋_GB2312" w:eastAsia="仿宋_GB2312" w:cs="仿宋_GB2312"/>
          <w:sz w:val="32"/>
          <w:szCs w:val="32"/>
          <w:highlight w:val="none"/>
        </w:rPr>
        <w:t>目前有</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个一级支行、62个营业网点、</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sz w:val="32"/>
          <w:szCs w:val="32"/>
          <w:highlight w:val="none"/>
          <w:lang w:val="en-US" w:eastAsia="zh-CN"/>
        </w:rPr>
        <w:t>普惠金融服务站</w:t>
      </w:r>
      <w:r>
        <w:rPr>
          <w:rFonts w:hint="eastAsia" w:ascii="仿宋_GB2312" w:hAnsi="仿宋_GB2312" w:eastAsia="仿宋_GB2312" w:cs="仿宋_GB2312"/>
          <w:sz w:val="32"/>
          <w:szCs w:val="32"/>
          <w:highlight w:val="none"/>
        </w:rPr>
        <w:t>和</w:t>
      </w:r>
      <w:r>
        <w:rPr>
          <w:rFonts w:hint="eastAsia" w:ascii="仿宋_GB2312" w:hAnsi="仿宋_GB2312" w:eastAsia="仿宋_GB2312" w:cs="仿宋_GB2312"/>
          <w:sz w:val="32"/>
          <w:szCs w:val="32"/>
          <w:highlight w:val="none"/>
          <w:lang w:val="en-US" w:eastAsia="zh-CN"/>
        </w:rPr>
        <w:t>172</w:t>
      </w:r>
      <w:r>
        <w:rPr>
          <w:rFonts w:hint="eastAsia" w:ascii="仿宋_GB2312" w:hAnsi="仿宋_GB2312" w:eastAsia="仿宋_GB2312" w:cs="仿宋_GB2312"/>
          <w:sz w:val="32"/>
          <w:szCs w:val="32"/>
          <w:highlight w:val="none"/>
        </w:rPr>
        <w:t>个普惠金融服务点，</w:t>
      </w:r>
      <w:r>
        <w:rPr>
          <w:rFonts w:hint="eastAsia" w:ascii="仿宋_GB2312" w:hAnsi="仿宋_GB2312" w:eastAsia="仿宋_GB2312" w:cs="仿宋_GB2312"/>
          <w:sz w:val="32"/>
          <w:szCs w:val="32"/>
          <w:highlight w:val="none"/>
          <w:lang w:val="en-US" w:eastAsia="zh-CN"/>
        </w:rPr>
        <w:t>机关</w:t>
      </w:r>
      <w:r>
        <w:rPr>
          <w:rFonts w:hint="eastAsia" w:ascii="仿宋_GB2312" w:hAnsi="仿宋_GB2312" w:eastAsia="仿宋_GB2312" w:cs="仿宋_GB2312"/>
          <w:sz w:val="32"/>
          <w:szCs w:val="32"/>
          <w:highlight w:val="none"/>
        </w:rPr>
        <w:t>内设</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个管理部门，网点遍布盐城主城区，并在东台城乡设有7个网点，员工</w:t>
      </w:r>
      <w:r>
        <w:rPr>
          <w:rFonts w:hint="eastAsia" w:ascii="仿宋_GB2312" w:hAnsi="仿宋_GB2312" w:eastAsia="仿宋_GB2312" w:cs="仿宋_GB2312"/>
          <w:sz w:val="32"/>
          <w:szCs w:val="32"/>
          <w:highlight w:val="none"/>
          <w:lang w:val="en-US" w:eastAsia="zh-CN"/>
        </w:rPr>
        <w:t>总数822</w:t>
      </w:r>
      <w:r>
        <w:rPr>
          <w:rFonts w:hint="eastAsia" w:ascii="仿宋_GB2312" w:hAnsi="仿宋_GB2312" w:eastAsia="仿宋_GB2312" w:cs="仿宋_GB2312"/>
          <w:sz w:val="32"/>
          <w:szCs w:val="32"/>
          <w:highlight w:val="none"/>
        </w:rPr>
        <w:t>人，注册资本10.</w:t>
      </w:r>
      <w:r>
        <w:rPr>
          <w:rFonts w:hint="eastAsia" w:ascii="仿宋_GB2312" w:hAnsi="仿宋_GB2312" w:eastAsia="仿宋_GB2312" w:cs="仿宋_GB2312"/>
          <w:sz w:val="32"/>
          <w:szCs w:val="32"/>
          <w:highlight w:val="none"/>
          <w:lang w:val="en-US" w:eastAsia="zh-CN"/>
        </w:rPr>
        <w:t>74</w:t>
      </w:r>
      <w:r>
        <w:rPr>
          <w:rFonts w:hint="eastAsia" w:ascii="仿宋_GB2312" w:hAnsi="仿宋_GB2312" w:eastAsia="仿宋_GB2312" w:cs="仿宋_GB2312"/>
          <w:sz w:val="32"/>
          <w:szCs w:val="32"/>
          <w:highlight w:val="none"/>
        </w:rPr>
        <w:t>亿元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服务大市区客群超120万人</w:t>
      </w:r>
      <w:r>
        <w:rPr>
          <w:rFonts w:hint="eastAsia" w:ascii="仿宋_GB2312" w:hAnsi="仿宋_GB2312" w:eastAsia="仿宋_GB2312" w:cs="仿宋_GB2312"/>
          <w:sz w:val="32"/>
          <w:szCs w:val="32"/>
          <w:highlight w:val="none"/>
        </w:rPr>
        <w:t>，年纳税近1.7亿元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全力支持地方经济高质量发展</w:t>
      </w:r>
      <w:r>
        <w:rPr>
          <w:rFonts w:hint="eastAsia" w:ascii="仿宋_GB2312" w:hAnsi="仿宋_GB2312" w:eastAsia="仿宋_GB2312" w:cs="仿宋_GB2312"/>
          <w:sz w:val="32"/>
          <w:szCs w:val="32"/>
          <w:highlight w:val="none"/>
        </w:rPr>
        <w:t>。截至2024年末，各项存款</w:t>
      </w:r>
      <w:r>
        <w:rPr>
          <w:rFonts w:hint="eastAsia" w:ascii="仿宋_GB2312" w:hAnsi="仿宋_GB2312" w:eastAsia="仿宋_GB2312" w:cs="仿宋_GB2312"/>
          <w:sz w:val="32"/>
          <w:szCs w:val="32"/>
          <w:highlight w:val="none"/>
          <w:lang w:val="en-US" w:eastAsia="zh-CN"/>
        </w:rPr>
        <w:t>余额</w:t>
      </w:r>
      <w:r>
        <w:rPr>
          <w:rFonts w:hint="eastAsia" w:ascii="仿宋_GB2312" w:hAnsi="宋体" w:eastAsia="仿宋_GB2312"/>
          <w:snapToGrid w:val="0"/>
          <w:kern w:val="0"/>
          <w:sz w:val="32"/>
          <w:szCs w:val="32"/>
          <w:lang w:val="en-US" w:eastAsia="zh-CN"/>
        </w:rPr>
        <w:t>456.52</w:t>
      </w:r>
      <w:r>
        <w:rPr>
          <w:rFonts w:hint="eastAsia" w:ascii="仿宋_GB2312" w:hAnsi="仿宋_GB2312" w:eastAsia="仿宋_GB2312" w:cs="仿宋_GB2312"/>
          <w:sz w:val="32"/>
          <w:szCs w:val="32"/>
          <w:highlight w:val="none"/>
        </w:rPr>
        <w:t>亿元、各项贷款</w:t>
      </w:r>
      <w:r>
        <w:rPr>
          <w:rFonts w:hint="eastAsia" w:ascii="仿宋_GB2312" w:hAnsi="仿宋_GB2312" w:eastAsia="仿宋_GB2312" w:cs="仿宋_GB2312"/>
          <w:sz w:val="32"/>
          <w:szCs w:val="32"/>
          <w:highlight w:val="none"/>
          <w:lang w:val="en-US" w:eastAsia="zh-CN"/>
        </w:rPr>
        <w:t>余额</w:t>
      </w:r>
      <w:r>
        <w:rPr>
          <w:rFonts w:hint="eastAsia" w:ascii="仿宋_GB2312" w:hAnsi="仿宋_GB2312" w:eastAsia="仿宋_GB2312" w:cs="仿宋_GB2312"/>
          <w:sz w:val="32"/>
          <w:szCs w:val="32"/>
          <w:lang w:val="en-US" w:eastAsia="zh-CN"/>
        </w:rPr>
        <w:t>413.83</w:t>
      </w:r>
      <w:r>
        <w:rPr>
          <w:rFonts w:hint="eastAsia" w:ascii="仿宋_GB2312" w:hAnsi="仿宋_GB2312" w:eastAsia="仿宋_GB2312" w:cs="仿宋_GB2312"/>
          <w:sz w:val="32"/>
          <w:szCs w:val="32"/>
          <w:highlight w:val="none"/>
        </w:rPr>
        <w:t>亿元、资产总额</w:t>
      </w:r>
      <w:r>
        <w:rPr>
          <w:rFonts w:hint="eastAsia" w:ascii="仿宋_GB2312" w:hAnsi="仿宋_GB2312" w:eastAsia="仿宋_GB2312" w:cs="仿宋_GB2312"/>
          <w:sz w:val="32"/>
          <w:szCs w:val="32"/>
          <w:highlight w:val="none"/>
          <w:lang w:val="en-US" w:eastAsia="zh-CN"/>
        </w:rPr>
        <w:t>584.93</w:t>
      </w:r>
      <w:r>
        <w:rPr>
          <w:rFonts w:hint="eastAsia" w:ascii="仿宋_GB2312" w:hAnsi="仿宋_GB2312" w:eastAsia="仿宋_GB2312" w:cs="仿宋_GB2312"/>
          <w:sz w:val="32"/>
          <w:szCs w:val="32"/>
          <w:highlight w:val="none"/>
        </w:rPr>
        <w:t>亿元。</w:t>
      </w:r>
    </w:p>
    <w:p w14:paraId="7E642EFB">
      <w:pPr>
        <w:pStyle w:val="10"/>
        <w:keepNext w:val="0"/>
        <w:keepLines w:val="0"/>
        <w:pageBreakBefore w:val="0"/>
        <w:numPr>
          <w:ilvl w:val="0"/>
          <w:numId w:val="0"/>
        </w:numPr>
        <w:kinsoku/>
        <w:wordWrap/>
        <w:overflowPunct/>
        <w:topLinePunct w:val="0"/>
        <w:bidi w:val="0"/>
        <w:snapToGrid/>
        <w:spacing w:before="0" w:beforeAutospacing="0" w:after="0" w:afterAutospacing="0" w:line="560" w:lineRule="exact"/>
        <w:ind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val="en-US" w:eastAsia="zh-CN"/>
        </w:rPr>
        <w:t>二、争先创优</w:t>
      </w:r>
    </w:p>
    <w:p w14:paraId="6A9069D7">
      <w:pPr>
        <w:pStyle w:val="11"/>
        <w:keepNext w:val="0"/>
        <w:keepLines w:val="0"/>
        <w:pageBreakBefore w:val="0"/>
        <w:kinsoku/>
        <w:wordWrap/>
        <w:overflowPunct/>
        <w:topLinePunct w:val="0"/>
        <w:bidi w:val="0"/>
        <w:snapToGrid/>
        <w:spacing w:line="560" w:lineRule="exact"/>
        <w:ind w:firstLine="640" w:firstLineChars="200"/>
        <w:jc w:val="both"/>
        <w:textAlignment w:val="auto"/>
        <w:rPr>
          <w:rFonts w:hint="default" w:ascii="仿宋_GB2312" w:hAnsi="宋体" w:eastAsia="仿宋_GB2312"/>
          <w:sz w:val="32"/>
          <w:szCs w:val="32"/>
          <w:highlight w:val="none"/>
          <w:lang w:val="en-US"/>
        </w:rPr>
      </w:pPr>
      <w:r>
        <w:rPr>
          <w:rFonts w:hint="eastAsia" w:ascii="仿宋_GB2312" w:hAnsi="仿宋_GB2312" w:eastAsia="仿宋_GB2312" w:cs="仿宋_GB2312"/>
          <w:bCs/>
          <w:color w:val="auto"/>
          <w:sz w:val="32"/>
          <w:szCs w:val="32"/>
          <w:highlight w:val="none"/>
          <w:lang w:val="en-US" w:eastAsia="zh-CN"/>
        </w:rPr>
        <w:t>2024年，本行</w:t>
      </w:r>
      <w:r>
        <w:rPr>
          <w:rFonts w:hint="eastAsia" w:ascii="仿宋_GB2312" w:hAnsi="仿宋_GB2312" w:eastAsia="仿宋_GB2312" w:cs="仿宋_GB2312"/>
          <w:b w:val="0"/>
          <w:bCs w:val="0"/>
          <w:color w:val="auto"/>
          <w:sz w:val="32"/>
          <w:szCs w:val="32"/>
          <w:highlight w:val="none"/>
          <w:lang w:val="en-US" w:eastAsia="zh-CN"/>
        </w:rPr>
        <w:t>积极参与各类竞赛和活动，全年获得上级单位各类荣誉表彰30余项。被盐城市人民政府和盐都区人民政府双双评为“2024年度五星企业”</w:t>
      </w:r>
      <w:bookmarkStart w:id="0" w:name="_GoBack"/>
      <w:bookmarkEnd w:id="0"/>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Cs/>
          <w:color w:val="auto"/>
          <w:sz w:val="32"/>
          <w:szCs w:val="32"/>
          <w:highlight w:val="none"/>
          <w:lang w:val="en-US" w:eastAsia="zh-CN"/>
        </w:rPr>
        <w:t>本行被江苏金融监管局、江苏证监局、江苏金融工会评为2024年度江苏金融业网络安全技能竞赛“优秀组织奖”和“团体优秀奖”；被省联社评为“全省农商行财务精细化管理案例大赛三等奖”“全省农商行‘新质生产力’青年创新大赛二等奖”“全省农商行公司治理知识竞赛暨2024年度‘三重一大’和公司治理考试团体优秀奖”；被中国人民银行盐城市分行评为“盐城市第八届银行业金融机构数字人民币知识与反假货币技能竞赛团体三等奖”；被盐城市银行业协会评为2024年盐城市银行业“安全生产知识竞赛团体一等奖”“信息宣传工作考核优秀单位”“安全生产工作考核优秀单位”“消费者权益保护工作优秀单位”；被金融业联合会评为“2024年度盐城市宣传文化工作考核优秀单位”；被盐城市羽毛球运动协会评为2024年“盐城农商银行杯”VICTOR盐城市第九届职工家庭羽毛球公开赛（职工组）第一名；申报课题被《中国经济时报》评为2024年度“深化农村金融改革 走好特色金融发展之路”机构篇优秀案例；</w:t>
      </w:r>
      <w:r>
        <w:rPr>
          <w:rFonts w:hint="eastAsia" w:ascii="仿宋_GB2312" w:hAnsi="仿宋_GB2312" w:eastAsia="仿宋_GB2312" w:cs="仿宋_GB2312"/>
          <w:color w:val="auto"/>
          <w:sz w:val="32"/>
          <w:szCs w:val="32"/>
          <w:highlight w:val="none"/>
          <w:u w:val="none"/>
          <w:lang w:val="en-US" w:eastAsia="zh-CN"/>
        </w:rPr>
        <w:t>2024年“陀螺”评选，全省仅有7家农商行上榜，本行位列城区农商行综合排名全国第30位。</w:t>
      </w:r>
    </w:p>
    <w:p w14:paraId="23F5BE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华文中宋" w:eastAsia="黑体"/>
          <w:sz w:val="32"/>
          <w:szCs w:val="32"/>
        </w:rPr>
      </w:pPr>
      <w:r>
        <w:rPr>
          <w:rFonts w:hint="eastAsia" w:ascii="黑体" w:hAnsi="华文中宋" w:eastAsia="黑体"/>
          <w:sz w:val="32"/>
          <w:szCs w:val="32"/>
          <w:lang w:val="en-US" w:eastAsia="zh-CN"/>
        </w:rPr>
        <w:t>三、</w:t>
      </w:r>
      <w:r>
        <w:rPr>
          <w:rFonts w:hint="eastAsia" w:ascii="黑体" w:hAnsi="华文中宋" w:eastAsia="黑体"/>
          <w:sz w:val="32"/>
          <w:szCs w:val="32"/>
        </w:rPr>
        <w:t>客户服务</w:t>
      </w:r>
    </w:p>
    <w:p w14:paraId="031132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b w:val="0"/>
          <w:bCs/>
          <w:color w:val="auto"/>
          <w:kern w:val="0"/>
          <w:sz w:val="32"/>
          <w:szCs w:val="32"/>
          <w:highlight w:val="none"/>
          <w:lang w:val="en-US" w:eastAsia="zh-CN" w:bidi="ar-SA"/>
        </w:rPr>
      </w:pPr>
      <w:r>
        <w:rPr>
          <w:rFonts w:hint="eastAsia" w:ascii="仿宋_GB2312" w:hAnsi="仿宋" w:eastAsia="仿宋_GB2312" w:cs="仿宋"/>
          <w:b/>
          <w:bCs/>
          <w:spacing w:val="10"/>
          <w:sz w:val="32"/>
          <w:szCs w:val="32"/>
          <w:highlight w:val="none"/>
          <w:lang w:val="en-US" w:eastAsia="zh-CN" w:bidi="ar-SA"/>
        </w:rPr>
        <w:t>（一）</w:t>
      </w:r>
      <w:r>
        <w:rPr>
          <w:rFonts w:hint="eastAsia" w:ascii="仿宋_GB2312" w:hAnsi="仿宋_GB2312" w:eastAsia="仿宋_GB2312" w:cs="仿宋_GB2312"/>
          <w:b/>
          <w:bCs/>
          <w:color w:val="auto"/>
          <w:kern w:val="2"/>
          <w:sz w:val="32"/>
          <w:szCs w:val="32"/>
          <w:lang w:val="en-US" w:eastAsia="zh-CN" w:bidi="ar-SA"/>
        </w:rPr>
        <w:t>在厅堂服务上“出真招”</w:t>
      </w:r>
      <w:r>
        <w:rPr>
          <w:rFonts w:hint="eastAsia" w:ascii="仿宋_GB2312" w:hAnsi="仿宋" w:eastAsia="仿宋_GB2312" w:cs="仿宋"/>
          <w:b/>
          <w:bCs/>
          <w:spacing w:val="10"/>
          <w:sz w:val="32"/>
          <w:szCs w:val="32"/>
          <w:highlight w:val="none"/>
          <w:lang w:val="en-US" w:eastAsia="zh-CN" w:bidi="ar-SA"/>
        </w:rPr>
        <w:t>。</w:t>
      </w:r>
      <w:r>
        <w:rPr>
          <w:rFonts w:hint="eastAsia" w:ascii="仿宋_GB2312" w:hAnsi="仿宋_GB2312" w:eastAsia="仿宋_GB2312" w:cs="仿宋_GB2312"/>
          <w:b w:val="0"/>
          <w:bCs/>
          <w:color w:val="auto"/>
          <w:kern w:val="0"/>
          <w:sz w:val="32"/>
          <w:szCs w:val="32"/>
          <w:highlight w:val="none"/>
          <w:lang w:val="en-US" w:eastAsia="zh-CN" w:bidi="ar-SA"/>
        </w:rPr>
        <w:t>根据《江苏省农村商业银行系统网点转型标准化建设工作指引（试行）》《厅堂管理规范工作手册》等文件要求，建立完善本行网点文明服务制度办法，开展“运营服务效率年”活动。为做好老年客群厅堂服务保障，开展“适老服务便利化专项行动”，从硬件改造、软件配备、产品渠道优化、队伍建设等方面入手，实现网点“硬件”和“软件”的双提升。坚持将“枫桥经验”作为深化金融消保和信访投诉工作的指导，营造“大抓基层、大抓源头、大抓调解”的浓厚氛围，切实提升金融纠纷调解质效。同时，深入开展不法贷款中介排查整治专项行动，为防范化解重点领域风险、维护区域金融稳定贡献农商力量。</w:t>
      </w:r>
    </w:p>
    <w:p w14:paraId="3F151B48">
      <w:pPr>
        <w:spacing w:line="560" w:lineRule="exact"/>
        <w:ind w:firstLine="683" w:firstLineChars="200"/>
        <w:rPr>
          <w:rFonts w:hint="default" w:ascii="仿宋_GB2312" w:hAnsi="仿宋" w:eastAsia="仿宋_GB2312" w:cs="仿宋"/>
          <w:b/>
          <w:bCs/>
          <w:color w:val="auto"/>
          <w:spacing w:val="10"/>
          <w:kern w:val="2"/>
          <w:sz w:val="32"/>
          <w:szCs w:val="32"/>
          <w:highlight w:val="none"/>
          <w:lang w:val="en-US" w:eastAsia="zh-CN" w:bidi="ar-SA"/>
        </w:rPr>
      </w:pPr>
      <w:r>
        <w:rPr>
          <w:rFonts w:hint="eastAsia" w:ascii="仿宋_GB2312" w:hAnsi="仿宋" w:eastAsia="仿宋_GB2312" w:cs="仿宋"/>
          <w:b/>
          <w:bCs/>
          <w:color w:val="auto"/>
          <w:spacing w:val="10"/>
          <w:kern w:val="2"/>
          <w:sz w:val="32"/>
          <w:szCs w:val="32"/>
          <w:highlight w:val="none"/>
          <w:lang w:val="en-US" w:eastAsia="zh-CN" w:bidi="ar-SA"/>
        </w:rPr>
        <w:t>（二）</w:t>
      </w:r>
      <w:r>
        <w:rPr>
          <w:rFonts w:hint="eastAsia" w:ascii="仿宋_GB2312" w:hAnsi="仿宋_GB2312" w:eastAsia="仿宋_GB2312" w:cs="仿宋_GB2312"/>
          <w:b/>
          <w:bCs/>
          <w:color w:val="auto"/>
          <w:kern w:val="2"/>
          <w:sz w:val="32"/>
          <w:szCs w:val="32"/>
          <w:lang w:val="en-US" w:eastAsia="zh-CN" w:bidi="ar-SA"/>
        </w:rPr>
        <w:t>在信贷服务上“出实招”</w:t>
      </w:r>
      <w:r>
        <w:rPr>
          <w:rFonts w:hint="eastAsia" w:ascii="仿宋_GB2312" w:hAnsi="仿宋" w:eastAsia="仿宋_GB2312" w:cs="仿宋"/>
          <w:b/>
          <w:bCs/>
          <w:color w:val="auto"/>
          <w:spacing w:val="10"/>
          <w:sz w:val="32"/>
          <w:szCs w:val="32"/>
          <w:highlight w:val="none"/>
          <w:lang w:val="en-US" w:eastAsia="zh-CN" w:bidi="ar-SA"/>
        </w:rPr>
        <w:t>。</w:t>
      </w:r>
      <w:r>
        <w:rPr>
          <w:rFonts w:hint="eastAsia" w:ascii="仿宋_GB2312" w:hAnsi="仿宋" w:eastAsia="仿宋_GB2312" w:cs="Times New Roman"/>
          <w:color w:val="auto"/>
          <w:sz w:val="32"/>
          <w:szCs w:val="32"/>
          <w:highlight w:val="none"/>
          <w:lang w:val="en-US" w:eastAsia="zh-CN"/>
        </w:rPr>
        <w:t>持续加大重点领域融资支持，把为实体经济发展提供优质的金融服务作为立行之本、兴业之道。把服务实体经济、服务小微民营企业作为全年工作的重中之重，不断优化支农支小的顶层设计和战略规划，有力保障了小微民营企业的金融供给质量和水平。同时，深入开展“用信大比武”“奋斗正当时 贷动赢未来”等专项营销活动，在镇区、城区和园区实施“三整授信”，全面提升整村授信、整街授信和整园授信的覆盖面。截至2024年末，各项贷款402.23亿元，比年初增加36.</w:t>
      </w:r>
      <w:r>
        <w:rPr>
          <w:rFonts w:hint="eastAsia" w:ascii="仿宋_GB2312" w:hAnsi="仿宋_GB2312" w:eastAsia="仿宋_GB2312" w:cs="仿宋_GB2312"/>
          <w:sz w:val="32"/>
          <w:szCs w:val="32"/>
        </w:rPr>
        <w:t>10亿元，增幅9.86%。其中</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普惠型涉农贷款余额45.22亿元，比年初增加3.81亿元，增速9.20%；普惠型小微企业贷款余额99.68亿元，比年初增加12.56亿元，增速14.41%</w:t>
      </w:r>
      <w:r>
        <w:rPr>
          <w:rFonts w:hint="eastAsia" w:ascii="仿宋_GB2312" w:hAnsi="仿宋_GB2312" w:eastAsia="仿宋_GB2312" w:cs="仿宋_GB2312"/>
          <w:color w:val="000000" w:themeColor="text1"/>
          <w:sz w:val="32"/>
          <w:szCs w:val="32"/>
          <w14:textFill>
            <w14:solidFill>
              <w14:schemeClr w14:val="tx1"/>
            </w14:solidFill>
          </w14:textFill>
        </w:rPr>
        <w:t>。</w:t>
      </w:r>
    </w:p>
    <w:p w14:paraId="5506D3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83" w:firstLineChars="200"/>
        <w:textAlignment w:val="auto"/>
        <w:rPr>
          <w:rFonts w:hint="default" w:ascii="仿宋_GB2312" w:hAnsi="仿宋_GB2312" w:eastAsia="仿宋_GB2312" w:cs="仿宋_GB2312"/>
          <w:b w:val="0"/>
          <w:bCs/>
          <w:color w:val="auto"/>
          <w:kern w:val="0"/>
          <w:sz w:val="32"/>
          <w:szCs w:val="32"/>
          <w:highlight w:val="none"/>
          <w:lang w:val="en-US" w:eastAsia="zh-CN" w:bidi="ar-SA"/>
        </w:rPr>
      </w:pPr>
      <w:r>
        <w:rPr>
          <w:rFonts w:hint="eastAsia" w:ascii="仿宋_GB2312" w:hAnsi="仿宋" w:eastAsia="仿宋_GB2312" w:cs="仿宋"/>
          <w:b/>
          <w:bCs/>
          <w:color w:val="auto"/>
          <w:spacing w:val="10"/>
          <w:kern w:val="2"/>
          <w:sz w:val="32"/>
          <w:szCs w:val="32"/>
          <w:highlight w:val="none"/>
          <w:lang w:val="en-US" w:eastAsia="zh-CN" w:bidi="ar-SA"/>
        </w:rPr>
        <w:t>（三）在外拓服务上“出新招”。</w:t>
      </w:r>
      <w:r>
        <w:rPr>
          <w:rFonts w:hint="eastAsia" w:ascii="仿宋_GB2312" w:hAnsi="仿宋_GB2312" w:eastAsia="仿宋_GB2312" w:cs="仿宋_GB2312"/>
          <w:b w:val="0"/>
          <w:bCs/>
          <w:color w:val="auto"/>
          <w:kern w:val="0"/>
          <w:sz w:val="32"/>
          <w:szCs w:val="32"/>
          <w:highlight w:val="none"/>
          <w:lang w:val="en-US" w:eastAsia="zh-CN" w:bidi="ar-SA"/>
        </w:rPr>
        <w:t>全行组建六支专业、精业、敬业的外拓服务队，打造“小圆服务队”外拓服务品牌，积极落实活动部署要求，稳步有序推进各项工作。截至2024年末，全行共计建立客户档案360份（其中老年客户档案 153 份），“小圆服务队”队员通过厅堂沙龙、上门便民服务、金融知识宣讲、公益服务、外拓走访等形式累计开展外拓服务389次，服务客户1645人次。</w:t>
      </w:r>
    </w:p>
    <w:p w14:paraId="56952456">
      <w:pPr>
        <w:pStyle w:val="10"/>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ascii="黑体" w:hAnsi="黑体" w:eastAsia="黑体" w:cs="仿宋"/>
          <w:sz w:val="32"/>
          <w:szCs w:val="32"/>
        </w:rPr>
      </w:pPr>
      <w:r>
        <w:rPr>
          <w:rFonts w:hint="eastAsia" w:ascii="黑体" w:hAnsi="黑体" w:eastAsia="黑体" w:cs="仿宋"/>
          <w:sz w:val="32"/>
          <w:szCs w:val="32"/>
          <w:lang w:val="en-US" w:eastAsia="zh-CN"/>
        </w:rPr>
        <w:t>四</w:t>
      </w:r>
      <w:r>
        <w:rPr>
          <w:rFonts w:hint="eastAsia" w:ascii="黑体" w:hAnsi="黑体" w:eastAsia="黑体" w:cs="仿宋"/>
          <w:sz w:val="32"/>
          <w:szCs w:val="32"/>
        </w:rPr>
        <w:t>、员工发展</w:t>
      </w:r>
    </w:p>
    <w:p w14:paraId="551746B7">
      <w:pPr>
        <w:keepNext w:val="0"/>
        <w:keepLines w:val="0"/>
        <w:pageBreakBefore w:val="0"/>
        <w:widowControl w:val="0"/>
        <w:kinsoku/>
        <w:wordWrap/>
        <w:overflowPunct/>
        <w:topLinePunct w:val="0"/>
        <w:autoSpaceDE/>
        <w:autoSpaceDN/>
        <w:bidi w:val="0"/>
        <w:adjustRightInd/>
        <w:snapToGrid/>
        <w:spacing w:line="560" w:lineRule="exact"/>
        <w:ind w:left="0" w:leftChars="0" w:firstLine="68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 w:eastAsia="仿宋_GB2312" w:cs="仿宋"/>
          <w:b/>
          <w:bCs/>
          <w:spacing w:val="10"/>
          <w:kern w:val="2"/>
          <w:sz w:val="32"/>
          <w:szCs w:val="32"/>
          <w:highlight w:val="none"/>
          <w:lang w:val="en-US" w:eastAsia="zh-CN" w:bidi="ar-SA"/>
        </w:rPr>
        <w:t>（一）围绕全面培养，促进干部员工成长成才。</w:t>
      </w:r>
      <w:r>
        <w:rPr>
          <w:rFonts w:hint="eastAsia" w:ascii="仿宋_GB2312" w:eastAsia="仿宋_GB2312" w:cs="Times New Roman"/>
          <w:sz w:val="32"/>
          <w:szCs w:val="32"/>
          <w:lang w:val="en-US" w:eastAsia="zh-CN"/>
        </w:rPr>
        <w:t>2024年，本行</w:t>
      </w:r>
      <w:r>
        <w:rPr>
          <w:rFonts w:hint="default" w:ascii="仿宋_GB2312" w:eastAsia="仿宋_GB2312" w:cs="Times New Roman"/>
          <w:sz w:val="32"/>
          <w:szCs w:val="32"/>
          <w:lang w:val="en-US" w:eastAsia="zh-CN"/>
        </w:rPr>
        <w:t>共组织</w:t>
      </w:r>
      <w:r>
        <w:rPr>
          <w:rFonts w:hint="eastAsia" w:ascii="仿宋_GB2312" w:eastAsia="仿宋_GB2312" w:cs="Times New Roman"/>
          <w:sz w:val="32"/>
          <w:szCs w:val="32"/>
          <w:lang w:val="en-US" w:eastAsia="zh-CN"/>
        </w:rPr>
        <w:t>各类</w:t>
      </w:r>
      <w:r>
        <w:rPr>
          <w:rFonts w:hint="default" w:ascii="仿宋_GB2312" w:eastAsia="仿宋_GB2312" w:cs="Times New Roman"/>
          <w:sz w:val="32"/>
          <w:szCs w:val="32"/>
          <w:lang w:val="en-US" w:eastAsia="zh-CN"/>
        </w:rPr>
        <w:t>培训45次，累计</w:t>
      </w:r>
      <w:r>
        <w:rPr>
          <w:rFonts w:hint="eastAsia" w:ascii="仿宋_GB2312" w:eastAsia="仿宋_GB2312" w:cs="Times New Roman"/>
          <w:sz w:val="32"/>
          <w:szCs w:val="32"/>
          <w:lang w:val="en-US" w:eastAsia="zh-CN"/>
        </w:rPr>
        <w:t>参训</w:t>
      </w:r>
      <w:r>
        <w:rPr>
          <w:rFonts w:hint="default" w:ascii="仿宋_GB2312" w:eastAsia="仿宋_GB2312" w:cs="Times New Roman"/>
          <w:sz w:val="32"/>
          <w:szCs w:val="32"/>
          <w:lang w:val="en-US" w:eastAsia="zh-CN"/>
        </w:rPr>
        <w:t>11514人次，参加省联社</w:t>
      </w:r>
      <w:r>
        <w:rPr>
          <w:rFonts w:hint="eastAsia" w:ascii="仿宋_GB2312" w:eastAsia="仿宋_GB2312" w:cs="Times New Roman"/>
          <w:sz w:val="32"/>
          <w:szCs w:val="32"/>
          <w:lang w:val="en-US" w:eastAsia="zh-CN"/>
        </w:rPr>
        <w:t>各类培训</w:t>
      </w:r>
      <w:r>
        <w:rPr>
          <w:rFonts w:hint="default" w:ascii="仿宋_GB2312" w:eastAsia="仿宋_GB2312" w:cs="Times New Roman"/>
          <w:sz w:val="32"/>
          <w:szCs w:val="32"/>
          <w:lang w:val="en-US" w:eastAsia="zh-CN"/>
        </w:rPr>
        <w:t>60次，累计</w:t>
      </w:r>
      <w:r>
        <w:rPr>
          <w:rFonts w:hint="eastAsia" w:ascii="仿宋_GB2312" w:eastAsia="仿宋_GB2312" w:cs="Times New Roman"/>
          <w:sz w:val="32"/>
          <w:szCs w:val="32"/>
          <w:lang w:val="en-US" w:eastAsia="zh-CN"/>
        </w:rPr>
        <w:t>参训</w:t>
      </w:r>
      <w:r>
        <w:rPr>
          <w:rFonts w:hint="default" w:ascii="仿宋_GB2312" w:eastAsia="仿宋_GB2312" w:cs="Times New Roman"/>
          <w:sz w:val="32"/>
          <w:szCs w:val="32"/>
          <w:lang w:val="en-US" w:eastAsia="zh-CN"/>
        </w:rPr>
        <w:t>1165人次，参加外部机构培训12次，累计</w:t>
      </w:r>
      <w:r>
        <w:rPr>
          <w:rFonts w:hint="eastAsia" w:ascii="仿宋_GB2312" w:eastAsia="仿宋_GB2312" w:cs="Times New Roman"/>
          <w:sz w:val="32"/>
          <w:szCs w:val="32"/>
          <w:lang w:val="en-US" w:eastAsia="zh-CN"/>
        </w:rPr>
        <w:t>参训</w:t>
      </w:r>
      <w:r>
        <w:rPr>
          <w:rFonts w:hint="default" w:ascii="仿宋_GB2312" w:eastAsia="仿宋_GB2312" w:cs="Times New Roman"/>
          <w:sz w:val="32"/>
          <w:szCs w:val="32"/>
          <w:lang w:val="en-US" w:eastAsia="zh-CN"/>
        </w:rPr>
        <w:t>849人次；</w:t>
      </w:r>
      <w:r>
        <w:rPr>
          <w:rFonts w:hint="eastAsia" w:ascii="仿宋_GB2312" w:eastAsia="仿宋_GB2312"/>
          <w:sz w:val="32"/>
          <w:szCs w:val="32"/>
          <w:lang w:val="en-US" w:eastAsia="zh-CN"/>
        </w:rPr>
        <w:t>强化对客户经理、柜员等一线岗位，特别是新任岗位人员的业务能力提升常态化培训，开展了客户经理、新任客户经理“自学、集中学”系列培训以及新任</w:t>
      </w:r>
      <w:r>
        <w:rPr>
          <w:rFonts w:hint="eastAsia" w:ascii="仿宋_GB2312" w:eastAsia="仿宋_GB2312"/>
          <w:sz w:val="32"/>
          <w:szCs w:val="32"/>
        </w:rPr>
        <w:t>柜员</w:t>
      </w:r>
      <w:r>
        <w:rPr>
          <w:rFonts w:hint="eastAsia" w:ascii="仿宋_GB2312" w:eastAsia="仿宋_GB2312"/>
          <w:sz w:val="32"/>
          <w:szCs w:val="32"/>
          <w:lang w:val="en-US" w:eastAsia="zh-CN"/>
        </w:rPr>
        <w:t>业务技能培训</w:t>
      </w:r>
      <w:r>
        <w:rPr>
          <w:rFonts w:hint="eastAsia" w:ascii="仿宋_GB2312" w:eastAsia="仿宋_GB2312"/>
          <w:sz w:val="32"/>
          <w:szCs w:val="32"/>
        </w:rPr>
        <w:t>，</w:t>
      </w:r>
      <w:r>
        <w:rPr>
          <w:rFonts w:hint="eastAsia" w:ascii="仿宋_GB2312" w:eastAsia="仿宋_GB2312"/>
          <w:sz w:val="32"/>
          <w:szCs w:val="32"/>
          <w:lang w:val="en-US" w:eastAsia="zh-CN"/>
        </w:rPr>
        <w:t>进一步提升了相关从业人员营销和业务技能；加强不同岗位人员赋能提升培训，分两期组织中高层管理人员和中层后备人员赴南京大学进行赋能提升培训，</w:t>
      </w:r>
      <w:r>
        <w:rPr>
          <w:rFonts w:hint="eastAsia" w:ascii="仿宋_GB2312" w:eastAsia="仿宋_GB2312"/>
          <w:b w:val="0"/>
          <w:bCs/>
          <w:sz w:val="32"/>
          <w:szCs w:val="32"/>
          <w:highlight w:val="none"/>
          <w:lang w:val="en-US" w:eastAsia="zh-CN"/>
        </w:rPr>
        <w:t>组织了零售信贷业</w:t>
      </w:r>
      <w:r>
        <w:rPr>
          <w:rFonts w:hint="eastAsia" w:ascii="仿宋_GB2312" w:eastAsia="仿宋_GB2312"/>
          <w:b w:val="0"/>
          <w:bCs/>
          <w:color w:val="auto"/>
          <w:sz w:val="32"/>
          <w:szCs w:val="32"/>
          <w:highlight w:val="none"/>
          <w:lang w:val="en-US" w:eastAsia="zh-CN"/>
        </w:rPr>
        <w:t>务批量获客与精准营销专题培训以及对公存款与外联外拓营销策略专题培训，不断</w:t>
      </w:r>
      <w:r>
        <w:rPr>
          <w:rFonts w:hint="eastAsia" w:ascii="仿宋_GB2312" w:hAnsi="仿宋_GB2312" w:eastAsia="仿宋_GB2312" w:cs="仿宋_GB2312"/>
          <w:b w:val="0"/>
          <w:bCs/>
          <w:color w:val="auto"/>
          <w:sz w:val="32"/>
          <w:szCs w:val="32"/>
          <w:highlight w:val="none"/>
          <w:lang w:val="en-US" w:eastAsia="zh-CN"/>
        </w:rPr>
        <w:t>提高支行行长、客户经理的业务素质和风险防控能力。</w:t>
      </w:r>
    </w:p>
    <w:p w14:paraId="04BC2EE6">
      <w:pPr>
        <w:pStyle w:val="15"/>
        <w:keepNext w:val="0"/>
        <w:keepLines w:val="0"/>
        <w:pageBreakBefore w:val="0"/>
        <w:widowControl w:val="0"/>
        <w:kinsoku/>
        <w:wordWrap/>
        <w:overflowPunct/>
        <w:topLinePunct w:val="0"/>
        <w:autoSpaceDE/>
        <w:autoSpaceDN/>
        <w:bidi w:val="0"/>
        <w:adjustRightInd/>
        <w:snapToGrid/>
        <w:spacing w:line="560" w:lineRule="exact"/>
        <w:ind w:firstLine="68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 w:eastAsia="仿宋_GB2312" w:cs="仿宋"/>
          <w:b/>
          <w:bCs/>
          <w:color w:val="auto"/>
          <w:spacing w:val="10"/>
          <w:kern w:val="2"/>
          <w:sz w:val="32"/>
          <w:szCs w:val="32"/>
          <w:highlight w:val="none"/>
          <w:lang w:val="en-US" w:eastAsia="zh-CN" w:bidi="ar-SA"/>
        </w:rPr>
        <w:t>（二）围绕以人为本，保障干部员工合法权益。</w:t>
      </w:r>
      <w:r>
        <w:rPr>
          <w:rFonts w:hint="eastAsia" w:ascii="仿宋_GB2312" w:eastAsia="仿宋_GB2312"/>
          <w:b/>
          <w:bCs/>
          <w:color w:val="auto"/>
          <w:sz w:val="32"/>
          <w:szCs w:val="32"/>
          <w:lang w:val="en-US" w:eastAsia="zh-CN"/>
        </w:rPr>
        <w:t>一是</w:t>
      </w:r>
      <w:r>
        <w:rPr>
          <w:rFonts w:hint="eastAsia" w:ascii="仿宋_GB2312" w:hAnsi="仿宋" w:eastAsia="仿宋_GB2312" w:cs="仿宋"/>
          <w:color w:val="auto"/>
          <w:sz w:val="32"/>
          <w:szCs w:val="32"/>
        </w:rPr>
        <w:t>构建和谐的劳动关系</w:t>
      </w:r>
      <w:r>
        <w:rPr>
          <w:rFonts w:hint="eastAsia" w:ascii="仿宋_GB2312" w:hAnsi="仿宋" w:eastAsia="仿宋_GB2312" w:cs="仿宋"/>
          <w:color w:val="auto"/>
          <w:sz w:val="32"/>
          <w:szCs w:val="32"/>
          <w:lang w:eastAsia="zh-CN"/>
        </w:rPr>
        <w:t>。</w:t>
      </w:r>
      <w:r>
        <w:rPr>
          <w:rFonts w:hint="eastAsia" w:ascii="仿宋_GB2312" w:eastAsia="仿宋_GB2312"/>
          <w:color w:val="auto"/>
          <w:sz w:val="32"/>
          <w:szCs w:val="32"/>
        </w:rPr>
        <w:t>贯彻执行《劳动法》《劳动合同法》《社会保险法》等法律法规，畅通职工诉求表达渠道。</w:t>
      </w:r>
      <w:r>
        <w:rPr>
          <w:rFonts w:hint="default" w:ascii="Times New Roman" w:hAnsi="Times New Roman" w:eastAsia="仿宋_GB2312" w:cs="Times New Roman"/>
          <w:color w:val="auto"/>
          <w:sz w:val="32"/>
          <w:szCs w:val="32"/>
          <w:highlight w:val="none"/>
          <w:lang w:val="en-US" w:eastAsia="zh-CN"/>
        </w:rPr>
        <w:t>修订出台</w:t>
      </w:r>
      <w:r>
        <w:rPr>
          <w:rFonts w:hint="default" w:ascii="Times New Roman" w:hAnsi="Times New Roman" w:eastAsia="仿宋_GB2312" w:cs="Times New Roman"/>
          <w:color w:val="auto"/>
          <w:sz w:val="32"/>
          <w:szCs w:val="32"/>
          <w:highlight w:val="none"/>
        </w:rPr>
        <w:t>了</w:t>
      </w:r>
      <w:r>
        <w:rPr>
          <w:rFonts w:hint="eastAsia" w:ascii="仿宋_GB2312" w:eastAsia="仿宋_GB2312"/>
          <w:color w:val="auto"/>
          <w:sz w:val="32"/>
          <w:szCs w:val="32"/>
          <w:highlight w:val="none"/>
        </w:rPr>
        <w:t>《后备人才库管理暂行办法》《中层管理人员试用期管理办法》</w:t>
      </w:r>
      <w:r>
        <w:rPr>
          <w:rFonts w:hint="eastAsia" w:ascii="仿宋_GB2312" w:eastAsia="仿宋_GB2312"/>
          <w:color w:val="auto"/>
          <w:sz w:val="32"/>
          <w:szCs w:val="32"/>
          <w:highlight w:val="none"/>
          <w:lang w:val="en-US" w:eastAsia="zh-CN"/>
        </w:rPr>
        <w:t>等28</w:t>
      </w:r>
      <w:r>
        <w:rPr>
          <w:rFonts w:hint="eastAsia" w:ascii="仿宋_GB2312" w:eastAsia="仿宋_GB2312"/>
          <w:color w:val="auto"/>
          <w:sz w:val="32"/>
          <w:szCs w:val="32"/>
          <w:highlight w:val="none"/>
        </w:rPr>
        <w:t>项制度</w:t>
      </w:r>
      <w:r>
        <w:rPr>
          <w:rFonts w:hint="eastAsia" w:ascii="仿宋_GB2312" w:eastAsia="仿宋_GB2312"/>
          <w:color w:val="auto"/>
          <w:sz w:val="32"/>
          <w:szCs w:val="32"/>
          <w:highlight w:val="none"/>
          <w:lang w:val="en-US" w:eastAsia="zh-CN"/>
        </w:rPr>
        <w:t>办法</w:t>
      </w:r>
      <w:r>
        <w:rPr>
          <w:rFonts w:hint="default" w:ascii="Times New Roman" w:hAnsi="Times New Roman" w:eastAsia="仿宋_GB2312" w:cs="Times New Roman"/>
          <w:color w:val="auto"/>
          <w:sz w:val="32"/>
          <w:szCs w:val="32"/>
          <w:highlight w:val="none"/>
          <w:lang w:eastAsia="zh-CN"/>
        </w:rPr>
        <w:t>，</w:t>
      </w:r>
      <w:r>
        <w:rPr>
          <w:rFonts w:hint="eastAsia" w:ascii="仿宋_GB2312" w:hAnsi="仿宋" w:eastAsia="仿宋_GB2312" w:cs="仿宋"/>
          <w:color w:val="auto"/>
          <w:sz w:val="32"/>
          <w:szCs w:val="32"/>
        </w:rPr>
        <w:t>切实保障员工合法权益，</w:t>
      </w:r>
      <w:r>
        <w:rPr>
          <w:rFonts w:hint="eastAsia" w:ascii="仿宋_GB2312" w:hAnsi="仿宋" w:eastAsia="仿宋_GB2312" w:cs="仿宋"/>
          <w:sz w:val="32"/>
          <w:szCs w:val="32"/>
        </w:rPr>
        <w:t>建立规范有序、公正合理、和谐稳定的劳动关系。</w:t>
      </w:r>
      <w:r>
        <w:rPr>
          <w:rFonts w:hint="eastAsia" w:ascii="仿宋_GB2312" w:eastAsia="仿宋_GB2312"/>
          <w:b/>
          <w:sz w:val="32"/>
          <w:szCs w:val="32"/>
          <w:lang w:val="en-US" w:eastAsia="zh-CN"/>
        </w:rPr>
        <w:t>二</w:t>
      </w:r>
      <w:r>
        <w:rPr>
          <w:rFonts w:hint="eastAsia" w:ascii="仿宋_GB2312" w:eastAsia="仿宋_GB2312"/>
          <w:b/>
          <w:sz w:val="32"/>
          <w:szCs w:val="32"/>
        </w:rPr>
        <w:t>是</w:t>
      </w:r>
      <w:r>
        <w:rPr>
          <w:rFonts w:hint="eastAsia" w:ascii="Times New Roman" w:hAnsi="Times New Roman" w:eastAsia="仿宋_GB2312" w:cs="Times New Roman"/>
          <w:b w:val="0"/>
          <w:bCs w:val="0"/>
          <w:sz w:val="32"/>
          <w:szCs w:val="32"/>
          <w:highlight w:val="none"/>
          <w:lang w:val="en-US" w:eastAsia="zh-CN"/>
        </w:rPr>
        <w:t>完善补充医疗保险。</w:t>
      </w:r>
      <w:r>
        <w:rPr>
          <w:rFonts w:hint="eastAsia" w:ascii="仿宋_GB2312" w:hAnsi="仿宋_GB2312" w:eastAsia="仿宋_GB2312" w:cs="仿宋_GB2312"/>
          <w:b w:val="0"/>
          <w:bCs w:val="0"/>
          <w:color w:val="auto"/>
          <w:sz w:val="32"/>
          <w:szCs w:val="32"/>
          <w:lang w:val="en-US" w:eastAsia="zh-CN"/>
        </w:rPr>
        <w:t>对</w:t>
      </w:r>
      <w:r>
        <w:rPr>
          <w:rFonts w:hint="eastAsia" w:ascii="仿宋_GB2312" w:hAnsi="仿宋_GB2312" w:eastAsia="仿宋_GB2312" w:cs="仿宋_GB2312"/>
          <w:color w:val="auto"/>
          <w:sz w:val="32"/>
          <w:szCs w:val="32"/>
          <w:lang w:eastAsia="zh-CN"/>
        </w:rPr>
        <w:t>补充医疗保险管理办法</w:t>
      </w:r>
      <w:r>
        <w:rPr>
          <w:rFonts w:hint="eastAsia" w:ascii="仿宋_GB2312" w:hAnsi="仿宋_GB2312" w:eastAsia="仿宋_GB2312" w:cs="仿宋_GB2312"/>
          <w:color w:val="auto"/>
          <w:sz w:val="32"/>
          <w:szCs w:val="32"/>
          <w:lang w:val="en-US" w:eastAsia="zh-CN"/>
        </w:rPr>
        <w:t>进行修订</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扩大了报销范围和对象，提高了报销比例和额度，并</w:t>
      </w:r>
      <w:r>
        <w:rPr>
          <w:rFonts w:hint="eastAsia" w:ascii="仿宋_GB2312" w:hAnsi="仿宋_GB2312" w:eastAsia="仿宋_GB2312" w:cs="仿宋_GB2312"/>
          <w:color w:val="auto"/>
          <w:sz w:val="32"/>
          <w:szCs w:val="32"/>
          <w:lang w:eastAsia="zh-CN"/>
        </w:rPr>
        <w:t>委托保险公司对补充医疗基金进行专业化管理，提高医疗费用报销频率和效率；完善商业保险投保，首次增加定期寿险、住院津贴、重大和轻度疾病保险项目，将在编员工配偶和16周以下未成年子女纳入保障对象，</w:t>
      </w:r>
      <w:r>
        <w:rPr>
          <w:rFonts w:hint="eastAsia" w:ascii="仿宋_GB2312" w:hAnsi="Times New Roman" w:eastAsia="仿宋_GB2312" w:cs="Times New Roman"/>
          <w:color w:val="auto"/>
          <w:kern w:val="0"/>
          <w:sz w:val="32"/>
          <w:szCs w:val="32"/>
          <w:lang w:val="en-US" w:eastAsia="zh-CN"/>
        </w:rPr>
        <w:t>进一步减轻员工医疗负担，增强员工幸福感</w:t>
      </w:r>
      <w:r>
        <w:rPr>
          <w:rFonts w:hint="eastAsia" w:ascii="Times New Roman" w:hAnsi="Times New Roman" w:eastAsia="仿宋_GB2312" w:cs="Times New Roman"/>
          <w:sz w:val="32"/>
          <w:szCs w:val="32"/>
          <w:highlight w:val="none"/>
          <w:lang w:val="en-US" w:eastAsia="zh-CN"/>
        </w:rPr>
        <w:t>。</w:t>
      </w:r>
      <w:r>
        <w:rPr>
          <w:rFonts w:hint="eastAsia" w:ascii="仿宋_GB2312" w:eastAsia="仿宋_GB2312"/>
          <w:b/>
          <w:bCs/>
          <w:sz w:val="32"/>
          <w:szCs w:val="32"/>
          <w:lang w:val="en-US" w:eastAsia="zh-CN"/>
        </w:rPr>
        <w:t>三是</w:t>
      </w:r>
      <w:r>
        <w:rPr>
          <w:rFonts w:hint="eastAsia" w:ascii="仿宋_GB2312" w:hAnsi="仿宋_GB2312" w:eastAsia="仿宋_GB2312" w:cs="仿宋_GB2312"/>
          <w:color w:val="auto"/>
          <w:sz w:val="32"/>
          <w:szCs w:val="32"/>
          <w:lang w:val="en-US" w:eastAsia="zh-CN"/>
        </w:rPr>
        <w:t>开展慰问暖心活动。</w:t>
      </w:r>
      <w:r>
        <w:rPr>
          <w:rFonts w:hint="eastAsia" w:ascii="仿宋_GB2312" w:hAnsi="华文中宋" w:eastAsia="仿宋_GB2312" w:cstheme="minorBidi"/>
          <w:color w:val="auto"/>
          <w:kern w:val="2"/>
          <w:sz w:val="32"/>
          <w:szCs w:val="32"/>
          <w:highlight w:val="none"/>
          <w:lang w:val="en-US" w:eastAsia="zh-CN" w:bidi="ar-SA"/>
        </w:rPr>
        <w:t>春节前，领导班子成员带头走访慰问12名退休员工以及48名在职困难员工、退休员工和遗属，共发放15.2万元慰问金，</w:t>
      </w:r>
      <w:r>
        <w:rPr>
          <w:rFonts w:hint="eastAsia" w:ascii="仿宋_GB2312" w:hAnsi="仿宋_GB2312" w:eastAsia="仿宋_GB2312" w:cs="仿宋_GB2312"/>
          <w:color w:val="auto"/>
          <w:sz w:val="32"/>
          <w:szCs w:val="32"/>
          <w:lang w:val="en-US" w:eastAsia="zh-CN"/>
        </w:rPr>
        <w:t>细分了慰问条件、扩大了慰问范围、提高了慰问标准，向</w:t>
      </w:r>
      <w:r>
        <w:rPr>
          <w:rFonts w:hint="eastAsia" w:ascii="仿宋_GB2312" w:hAnsi="仿宋_GB2312" w:eastAsia="仿宋_GB2312" w:cs="仿宋_GB2312"/>
          <w:color w:val="auto"/>
          <w:sz w:val="32"/>
          <w:szCs w:val="32"/>
          <w:lang w:eastAsia="zh-CN"/>
        </w:rPr>
        <w:t>他们送去了</w:t>
      </w:r>
      <w:r>
        <w:rPr>
          <w:rFonts w:hint="eastAsia" w:ascii="仿宋_GB2312" w:hAnsi="仿宋_GB2312" w:eastAsia="仿宋_GB2312" w:cs="仿宋_GB2312"/>
          <w:color w:val="auto"/>
          <w:sz w:val="32"/>
          <w:szCs w:val="32"/>
          <w:lang w:val="en-US" w:eastAsia="zh-CN"/>
        </w:rPr>
        <w:t>组织的</w:t>
      </w:r>
      <w:r>
        <w:rPr>
          <w:rFonts w:hint="eastAsia" w:ascii="仿宋_GB2312" w:hAnsi="仿宋_GB2312" w:eastAsia="仿宋_GB2312" w:cs="仿宋_GB2312"/>
          <w:color w:val="auto"/>
          <w:sz w:val="32"/>
          <w:szCs w:val="32"/>
          <w:lang w:eastAsia="zh-CN"/>
        </w:rPr>
        <w:t>慰问和新春</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lang w:eastAsia="zh-CN"/>
        </w:rPr>
        <w:t>祝福。</w:t>
      </w:r>
    </w:p>
    <w:p w14:paraId="1493F130">
      <w:pPr>
        <w:pStyle w:val="10"/>
        <w:keepNext w:val="0"/>
        <w:keepLines w:val="0"/>
        <w:pageBreakBefore w:val="0"/>
        <w:kinsoku/>
        <w:wordWrap/>
        <w:overflowPunct/>
        <w:topLinePunct w:val="0"/>
        <w:bidi w:val="0"/>
        <w:snapToGrid/>
        <w:spacing w:before="0" w:beforeAutospacing="0" w:after="0" w:afterAutospacing="0" w:line="560" w:lineRule="exact"/>
        <w:ind w:firstLine="640" w:firstLineChars="200"/>
        <w:jc w:val="both"/>
        <w:textAlignment w:val="auto"/>
        <w:rPr>
          <w:rFonts w:ascii="Times New Roman" w:hAnsi="Times New Roman" w:eastAsia="仿宋_GB2312"/>
          <w:kern w:val="2"/>
          <w:sz w:val="32"/>
          <w:szCs w:val="32"/>
        </w:rPr>
      </w:pPr>
      <w:r>
        <w:rPr>
          <w:rFonts w:hint="eastAsia" w:ascii="黑体" w:hAnsi="黑体" w:eastAsia="黑体" w:cs="仿宋"/>
          <w:sz w:val="32"/>
          <w:szCs w:val="32"/>
          <w:lang w:val="en-US" w:eastAsia="zh-CN"/>
        </w:rPr>
        <w:t>五</w:t>
      </w:r>
      <w:r>
        <w:rPr>
          <w:rFonts w:hint="eastAsia" w:ascii="黑体" w:hAnsi="黑体" w:eastAsia="黑体" w:cs="仿宋"/>
          <w:sz w:val="32"/>
          <w:szCs w:val="32"/>
        </w:rPr>
        <w:t>、热心公益</w:t>
      </w:r>
    </w:p>
    <w:p w14:paraId="29ED80AA">
      <w:pPr>
        <w:keepNext w:val="0"/>
        <w:keepLines w:val="0"/>
        <w:pageBreakBefore w:val="0"/>
        <w:widowControl w:val="0"/>
        <w:kinsoku/>
        <w:wordWrap/>
        <w:overflowPunct/>
        <w:topLinePunct w:val="0"/>
        <w:autoSpaceDE/>
        <w:autoSpaceDN/>
        <w:bidi w:val="0"/>
        <w:adjustRightInd/>
        <w:snapToGrid/>
        <w:spacing w:line="560" w:lineRule="exact"/>
        <w:ind w:firstLine="683" w:firstLineChars="200"/>
        <w:jc w:val="left"/>
        <w:textAlignment w:val="auto"/>
        <w:rPr>
          <w:rFonts w:hint="eastAsia" w:ascii="仿宋_GB2312" w:hAnsi="仿宋_GB2312" w:eastAsia="仿宋_GB2312" w:cs="仿宋_GB2312"/>
          <w:b w:val="0"/>
          <w:bCs/>
          <w:color w:val="auto"/>
          <w:sz w:val="32"/>
          <w:szCs w:val="32"/>
          <w:highlight w:val="none"/>
          <w:lang w:val="en-US" w:eastAsia="zh-CN"/>
        </w:rPr>
      </w:pPr>
      <w:r>
        <w:rPr>
          <w:rFonts w:hint="eastAsia" w:ascii="仿宋_GB2312" w:hAnsi="仿宋" w:eastAsia="仿宋_GB2312" w:cs="仿宋"/>
          <w:b/>
          <w:bCs/>
          <w:spacing w:val="10"/>
          <w:kern w:val="2"/>
          <w:sz w:val="32"/>
          <w:szCs w:val="32"/>
          <w:highlight w:val="none"/>
          <w:lang w:val="en-US" w:eastAsia="zh-CN" w:bidi="ar-SA"/>
        </w:rPr>
        <w:t>一是慈善公益人性化。</w:t>
      </w:r>
      <w:r>
        <w:rPr>
          <w:rFonts w:hint="eastAsia" w:ascii="仿宋_GB2312" w:hAnsi="Times New Roman" w:eastAsia="仿宋_GB2312" w:cs="Times New Roman"/>
          <w:b w:val="0"/>
          <w:bCs/>
          <w:color w:val="auto"/>
          <w:sz w:val="32"/>
          <w:szCs w:val="32"/>
          <w:lang w:val="en-US" w:eastAsia="zh-CN"/>
        </w:rPr>
        <w:t>202</w:t>
      </w:r>
      <w:r>
        <w:rPr>
          <w:rFonts w:hint="eastAsia" w:ascii="仿宋_GB2312" w:eastAsia="仿宋_GB2312" w:cs="Times New Roman"/>
          <w:b w:val="0"/>
          <w:bCs/>
          <w:color w:val="auto"/>
          <w:sz w:val="32"/>
          <w:szCs w:val="32"/>
          <w:lang w:val="en-US" w:eastAsia="zh-CN"/>
        </w:rPr>
        <w:t>4</w:t>
      </w:r>
      <w:r>
        <w:rPr>
          <w:rFonts w:hint="eastAsia" w:ascii="仿宋_GB2312" w:hAnsi="Times New Roman" w:eastAsia="仿宋_GB2312" w:cs="Times New Roman"/>
          <w:b w:val="0"/>
          <w:bCs/>
          <w:color w:val="auto"/>
          <w:sz w:val="32"/>
          <w:szCs w:val="32"/>
          <w:lang w:val="en-US" w:eastAsia="zh-CN"/>
        </w:rPr>
        <w:t>年，本行</w:t>
      </w:r>
      <w:r>
        <w:rPr>
          <w:rFonts w:hint="eastAsia" w:ascii="仿宋_GB2312" w:hAnsi="Times New Roman" w:eastAsia="仿宋_GB2312" w:cs="Times New Roman"/>
          <w:b w:val="0"/>
          <w:bCs/>
          <w:color w:val="auto"/>
          <w:sz w:val="32"/>
          <w:szCs w:val="32"/>
        </w:rPr>
        <w:t>按照</w:t>
      </w:r>
      <w:r>
        <w:rPr>
          <w:rFonts w:hint="eastAsia" w:ascii="仿宋_GB2312" w:hAnsi="Times New Roman" w:eastAsia="仿宋_GB2312" w:cs="Times New Roman"/>
          <w:b w:val="0"/>
          <w:bCs/>
          <w:color w:val="auto"/>
          <w:sz w:val="32"/>
          <w:szCs w:val="32"/>
          <w:lang w:val="en-US" w:eastAsia="zh-CN"/>
        </w:rPr>
        <w:t>盐城</w:t>
      </w:r>
      <w:r>
        <w:rPr>
          <w:rFonts w:hint="eastAsia" w:ascii="仿宋_GB2312" w:hAnsi="Times New Roman" w:eastAsia="仿宋_GB2312" w:cs="Times New Roman"/>
          <w:b w:val="0"/>
          <w:bCs/>
          <w:color w:val="auto"/>
          <w:sz w:val="32"/>
          <w:szCs w:val="32"/>
        </w:rPr>
        <w:t>市富民强村工作计划，</w:t>
      </w:r>
      <w:r>
        <w:rPr>
          <w:rFonts w:hint="eastAsia" w:ascii="仿宋_GB2312" w:hAnsi="华文中宋" w:eastAsia="仿宋_GB2312" w:cstheme="minorBidi"/>
          <w:color w:val="auto"/>
          <w:kern w:val="2"/>
          <w:sz w:val="32"/>
          <w:szCs w:val="32"/>
          <w:highlight w:val="none"/>
          <w:lang w:val="en-US" w:eastAsia="zh-CN" w:bidi="ar-SA"/>
        </w:rPr>
        <w:t>对响水县黄圩镇东盛村帮扶捐赠15万元；积极参与市慈善总会“慈善一日捐”活动，全行干部员工累计捐赠7.8万元；持续开展捐资助学活动，当年帮助40名贫困学子实现大学梦想，资助金额超22万元；对盐城中学捐赠“园丁·圆梦”慈善教育基金20万元；参与市妇联组织的“关爱妇儿 盐城在行动”活动，捐款3万元。</w:t>
      </w:r>
      <w:r>
        <w:rPr>
          <w:rFonts w:hint="eastAsia" w:ascii="仿宋_GB2312" w:hAnsi="仿宋_GB2312" w:eastAsia="仿宋_GB2312" w:cs="仿宋_GB2312"/>
          <w:b w:val="0"/>
          <w:bCs/>
          <w:color w:val="auto"/>
          <w:sz w:val="32"/>
          <w:szCs w:val="32"/>
          <w:highlight w:val="none"/>
          <w:lang w:val="en-US" w:eastAsia="zh-CN"/>
        </w:rPr>
        <w:t>在自身高质量发展的同时，积极履行社会责任。</w:t>
      </w:r>
    </w:p>
    <w:p w14:paraId="38264843">
      <w:pPr>
        <w:keepNext w:val="0"/>
        <w:keepLines w:val="0"/>
        <w:pageBreakBefore w:val="0"/>
        <w:widowControl w:val="0"/>
        <w:kinsoku/>
        <w:wordWrap/>
        <w:overflowPunct/>
        <w:topLinePunct w:val="0"/>
        <w:autoSpaceDE/>
        <w:autoSpaceDN/>
        <w:bidi w:val="0"/>
        <w:adjustRightInd/>
        <w:snapToGrid/>
        <w:spacing w:line="560" w:lineRule="exact"/>
        <w:ind w:firstLine="683" w:firstLineChars="200"/>
        <w:jc w:val="left"/>
        <w:textAlignment w:val="auto"/>
        <w:rPr>
          <w:rFonts w:hint="eastAsia" w:ascii="仿宋_GB2312" w:hAnsi="Times New Roman" w:eastAsia="仿宋_GB2312" w:cs="Times New Roman"/>
          <w:sz w:val="32"/>
          <w:szCs w:val="32"/>
        </w:rPr>
      </w:pPr>
      <w:r>
        <w:rPr>
          <w:rFonts w:hint="eastAsia" w:ascii="仿宋_GB2312" w:hAnsi="仿宋_GB2312" w:eastAsia="仿宋_GB2312" w:cs="仿宋_GB2312"/>
          <w:b/>
          <w:bCs/>
          <w:spacing w:val="10"/>
          <w:kern w:val="2"/>
          <w:sz w:val="32"/>
          <w:szCs w:val="32"/>
          <w:highlight w:val="none"/>
          <w:lang w:val="en-US" w:eastAsia="zh-CN" w:bidi="ar-SA"/>
        </w:rPr>
        <w:t>二是</w:t>
      </w:r>
      <w:r>
        <w:rPr>
          <w:rFonts w:hint="eastAsia" w:ascii="仿宋_GB2312" w:hAnsi="仿宋_GB2312" w:eastAsia="仿宋_GB2312" w:cs="仿宋_GB2312"/>
          <w:b/>
          <w:bCs/>
          <w:w w:val="95"/>
          <w:sz w:val="32"/>
          <w:szCs w:val="32"/>
          <w:shd w:val="clear" w:color="auto" w:fill="FFFFFF"/>
        </w:rPr>
        <w:t>志愿活动</w:t>
      </w:r>
      <w:r>
        <w:rPr>
          <w:rFonts w:hint="eastAsia" w:ascii="仿宋_GB2312" w:hAnsi="仿宋_GB2312" w:eastAsia="仿宋_GB2312" w:cs="仿宋_GB2312"/>
          <w:b/>
          <w:bCs/>
          <w:w w:val="95"/>
          <w:sz w:val="32"/>
          <w:szCs w:val="32"/>
          <w:shd w:val="clear" w:color="auto" w:fill="FFFFFF"/>
          <w:lang w:val="en-US" w:eastAsia="zh-CN"/>
        </w:rPr>
        <w:t>多样化</w:t>
      </w:r>
      <w:r>
        <w:rPr>
          <w:rFonts w:hint="eastAsia" w:ascii="仿宋_GB2312" w:hAnsi="仿宋_GB2312" w:eastAsia="仿宋_GB2312" w:cs="仿宋_GB2312"/>
          <w:b/>
          <w:bCs/>
          <w:w w:val="95"/>
          <w:sz w:val="32"/>
          <w:szCs w:val="32"/>
          <w:shd w:val="clear" w:color="auto" w:fill="FFFFFF"/>
          <w:lang w:eastAsia="zh-CN"/>
        </w:rPr>
        <w:t>。</w:t>
      </w:r>
      <w:r>
        <w:rPr>
          <w:rFonts w:hint="eastAsia" w:ascii="仿宋_GB2312" w:hAnsi="仿宋_GB2312" w:eastAsia="仿宋_GB2312" w:cs="仿宋_GB2312"/>
          <w:b w:val="0"/>
          <w:bCs w:val="0"/>
          <w:color w:val="auto"/>
          <w:sz w:val="32"/>
          <w:szCs w:val="32"/>
          <w:lang w:val="en-US" w:eastAsia="zh-CN"/>
        </w:rPr>
        <w:t>开展“新质生</w:t>
      </w:r>
      <w:r>
        <w:rPr>
          <w:rFonts w:hint="eastAsia" w:ascii="仿宋_GB2312" w:hAnsi="华文中宋" w:eastAsia="仿宋_GB2312" w:cstheme="minorBidi"/>
          <w:color w:val="auto"/>
          <w:kern w:val="2"/>
          <w:sz w:val="32"/>
          <w:szCs w:val="32"/>
          <w:highlight w:val="none"/>
          <w:lang w:val="en-US" w:eastAsia="zh-CN" w:bidi="ar-SA"/>
        </w:rPr>
        <w:t>产力”青年创新大赛、青年员工代表座谈会、青年员工踏青活动、青年交友联谊会等活动，充分激发青年员工创新创造潜能，为高质量发展贡献智慧和力量。</w:t>
      </w:r>
      <w:r>
        <w:rPr>
          <w:rFonts w:hint="eastAsia" w:ascii="仿宋_GB2312" w:hAnsi="Times New Roman" w:eastAsia="仿宋_GB2312" w:cs="Times New Roman"/>
          <w:sz w:val="32"/>
          <w:szCs w:val="32"/>
        </w:rPr>
        <w:t>充分发挥“奉献、友爱、互助、进步”的志愿精神，</w:t>
      </w:r>
      <w:r>
        <w:rPr>
          <w:rFonts w:hint="eastAsia" w:ascii="仿宋_GB2312" w:hAnsi="Times New Roman" w:eastAsia="仿宋_GB2312" w:cs="Times New Roman"/>
          <w:sz w:val="32"/>
          <w:szCs w:val="32"/>
          <w:lang w:val="en-US" w:eastAsia="zh-CN"/>
        </w:rPr>
        <w:t>积极</w:t>
      </w:r>
      <w:r>
        <w:rPr>
          <w:rFonts w:hint="eastAsia" w:ascii="仿宋_GB2312" w:hAnsi="Times New Roman" w:eastAsia="仿宋_GB2312" w:cs="Times New Roman"/>
          <w:sz w:val="32"/>
          <w:szCs w:val="32"/>
        </w:rPr>
        <w:t>投身</w:t>
      </w:r>
      <w:r>
        <w:rPr>
          <w:rFonts w:hint="eastAsia" w:ascii="仿宋_GB2312" w:hAnsi="Times New Roman" w:eastAsia="仿宋_GB2312" w:cs="Times New Roman"/>
          <w:sz w:val="32"/>
          <w:szCs w:val="32"/>
          <w:lang w:val="en-US" w:eastAsia="zh-CN"/>
        </w:rPr>
        <w:t>金融知识宣教、“一老一小”</w:t>
      </w:r>
      <w:r>
        <w:rPr>
          <w:rFonts w:hint="eastAsia" w:ascii="仿宋_GB2312" w:hAnsi="Times New Roman" w:eastAsia="仿宋_GB2312" w:cs="Times New Roman"/>
          <w:sz w:val="32"/>
          <w:szCs w:val="32"/>
        </w:rPr>
        <w:t>特殊群体</w:t>
      </w:r>
      <w:r>
        <w:rPr>
          <w:rFonts w:hint="eastAsia" w:ascii="仿宋_GB2312" w:hAnsi="Times New Roman" w:eastAsia="仿宋_GB2312" w:cs="Times New Roman"/>
          <w:sz w:val="32"/>
          <w:szCs w:val="32"/>
          <w:lang w:val="en-US" w:eastAsia="zh-CN"/>
        </w:rPr>
        <w:t>关爱</w:t>
      </w:r>
      <w:r>
        <w:rPr>
          <w:rFonts w:hint="eastAsia" w:ascii="仿宋_GB2312" w:hAnsi="Times New Roman" w:eastAsia="仿宋_GB2312" w:cs="Times New Roman"/>
          <w:sz w:val="32"/>
          <w:szCs w:val="32"/>
        </w:rPr>
        <w:t>、无偿献血、</w:t>
      </w:r>
      <w:r>
        <w:rPr>
          <w:rFonts w:hint="eastAsia" w:ascii="仿宋_GB2312" w:hAnsi="Times New Roman" w:eastAsia="仿宋_GB2312" w:cs="Times New Roman"/>
          <w:sz w:val="32"/>
          <w:szCs w:val="32"/>
          <w:lang w:val="en-US" w:eastAsia="zh-CN"/>
        </w:rPr>
        <w:t>高考加油站</w:t>
      </w:r>
      <w:r>
        <w:rPr>
          <w:rFonts w:hint="eastAsia" w:ascii="仿宋_GB2312" w:hAnsi="Times New Roman" w:eastAsia="仿宋_GB2312" w:cs="Times New Roman"/>
          <w:sz w:val="32"/>
          <w:szCs w:val="32"/>
        </w:rPr>
        <w:t>等</w:t>
      </w:r>
      <w:r>
        <w:rPr>
          <w:rFonts w:hint="eastAsia" w:ascii="仿宋_GB2312" w:hAnsi="Times New Roman" w:eastAsia="仿宋_GB2312" w:cs="Times New Roman"/>
          <w:sz w:val="32"/>
          <w:szCs w:val="32"/>
          <w:lang w:val="en-US" w:eastAsia="zh-CN"/>
        </w:rPr>
        <w:t>各类</w:t>
      </w:r>
      <w:r>
        <w:rPr>
          <w:rFonts w:hint="eastAsia" w:ascii="仿宋_GB2312" w:hAnsi="Times New Roman" w:eastAsia="仿宋_GB2312" w:cs="Times New Roman"/>
          <w:sz w:val="32"/>
          <w:szCs w:val="32"/>
        </w:rPr>
        <w:t>活动，为社会奉献爱心，传递正能量。积极开展</w:t>
      </w:r>
      <w:r>
        <w:rPr>
          <w:rFonts w:hint="eastAsia" w:ascii="仿宋_GB2312" w:hAnsi="Times New Roman" w:eastAsia="仿宋_GB2312" w:cs="Times New Roman"/>
          <w:sz w:val="32"/>
          <w:szCs w:val="32"/>
          <w:lang w:val="en-US" w:eastAsia="zh-CN"/>
        </w:rPr>
        <w:t>2024年度</w:t>
      </w:r>
      <w:r>
        <w:rPr>
          <w:rFonts w:hint="eastAsia" w:ascii="仿宋_GB2312" w:hAnsi="Times New Roman" w:eastAsia="仿宋_GB2312" w:cs="Times New Roman"/>
          <w:sz w:val="32"/>
          <w:szCs w:val="32"/>
        </w:rPr>
        <w:t>大学生</w:t>
      </w:r>
      <w:r>
        <w:rPr>
          <w:rFonts w:hint="eastAsia" w:ascii="仿宋_GB2312" w:hAnsi="Times New Roman" w:eastAsia="仿宋_GB2312" w:cs="Times New Roman"/>
          <w:sz w:val="32"/>
          <w:szCs w:val="32"/>
          <w:lang w:val="en-US" w:eastAsia="zh-CN"/>
        </w:rPr>
        <w:t>寒</w:t>
      </w:r>
      <w:r>
        <w:rPr>
          <w:rFonts w:hint="eastAsia" w:ascii="仿宋_GB2312" w:hAnsi="Times New Roman" w:eastAsia="仿宋_GB2312" w:cs="Times New Roman"/>
          <w:sz w:val="32"/>
          <w:szCs w:val="32"/>
        </w:rPr>
        <w:t>暑期社会实践活动，共提供</w:t>
      </w:r>
      <w:r>
        <w:rPr>
          <w:rFonts w:hint="eastAsia" w:ascii="仿宋_GB2312" w:hAnsi="Times New Roman" w:eastAsia="仿宋_GB2312" w:cs="Times New Roman"/>
          <w:sz w:val="32"/>
          <w:szCs w:val="32"/>
          <w:lang w:val="en-US" w:eastAsia="zh-CN"/>
        </w:rPr>
        <w:t>264</w:t>
      </w:r>
      <w:r>
        <w:rPr>
          <w:rFonts w:hint="eastAsia" w:ascii="仿宋_GB2312" w:hAnsi="Times New Roman" w:eastAsia="仿宋_GB2312" w:cs="Times New Roman"/>
          <w:sz w:val="32"/>
          <w:szCs w:val="32"/>
        </w:rPr>
        <w:t>个实践岗位，</w:t>
      </w:r>
      <w:r>
        <w:rPr>
          <w:rFonts w:hint="eastAsia" w:ascii="仿宋_GB2312" w:hAnsi="Times New Roman" w:eastAsia="仿宋_GB2312" w:cs="Times New Roman"/>
          <w:sz w:val="32"/>
          <w:szCs w:val="32"/>
          <w:lang w:val="en-US" w:eastAsia="zh-CN"/>
        </w:rPr>
        <w:t>实际招募260</w:t>
      </w:r>
      <w:r>
        <w:rPr>
          <w:rFonts w:hint="eastAsia" w:ascii="仿宋_GB2312" w:hAnsi="Times New Roman" w:eastAsia="仿宋_GB2312" w:cs="Times New Roman"/>
          <w:sz w:val="32"/>
          <w:szCs w:val="32"/>
        </w:rPr>
        <w:t>个</w:t>
      </w:r>
      <w:r>
        <w:rPr>
          <w:rFonts w:hint="eastAsia" w:ascii="仿宋_GB2312" w:hAnsi="Times New Roman" w:eastAsia="仿宋_GB2312" w:cs="Times New Roman"/>
          <w:sz w:val="32"/>
          <w:szCs w:val="32"/>
          <w:lang w:val="en-US" w:eastAsia="zh-CN"/>
        </w:rPr>
        <w:t>大学生，</w:t>
      </w:r>
      <w:r>
        <w:rPr>
          <w:rFonts w:hint="eastAsia" w:ascii="仿宋_GB2312" w:hAnsi="Times New Roman" w:eastAsia="仿宋_GB2312" w:cs="Times New Roman"/>
          <w:sz w:val="32"/>
          <w:szCs w:val="32"/>
        </w:rPr>
        <w:t>为广大在校大学生提供了较好的实践机会，全面提升</w:t>
      </w:r>
      <w:r>
        <w:rPr>
          <w:rFonts w:hint="eastAsia" w:ascii="仿宋_GB2312" w:hAnsi="Times New Roman" w:eastAsia="仿宋_GB2312" w:cs="Times New Roman"/>
          <w:sz w:val="32"/>
          <w:szCs w:val="32"/>
          <w:lang w:val="en-US" w:eastAsia="zh-CN"/>
        </w:rPr>
        <w:t>本行</w:t>
      </w:r>
      <w:r>
        <w:rPr>
          <w:rFonts w:hint="eastAsia" w:ascii="仿宋_GB2312" w:hAnsi="Times New Roman" w:eastAsia="仿宋_GB2312" w:cs="Times New Roman"/>
          <w:sz w:val="32"/>
          <w:szCs w:val="32"/>
        </w:rPr>
        <w:t>社会形象。</w:t>
      </w:r>
    </w:p>
    <w:p w14:paraId="63CC580B">
      <w:pPr>
        <w:pStyle w:val="10"/>
        <w:keepNext w:val="0"/>
        <w:keepLines w:val="0"/>
        <w:pageBreakBefore w:val="0"/>
        <w:kinsoku/>
        <w:wordWrap/>
        <w:overflowPunct/>
        <w:topLinePunct w:val="0"/>
        <w:bidi w:val="0"/>
        <w:snapToGrid/>
        <w:spacing w:before="0" w:beforeAutospacing="0" w:after="0" w:afterAutospacing="0" w:line="560" w:lineRule="exact"/>
        <w:ind w:firstLine="643" w:firstLineChars="200"/>
        <w:jc w:val="both"/>
        <w:textAlignment w:val="auto"/>
        <w:rPr>
          <w:rFonts w:hint="eastAsia"/>
        </w:rPr>
      </w:pPr>
      <w:r>
        <w:rPr>
          <w:rFonts w:hint="eastAsia" w:ascii="仿宋_GB2312" w:hAnsi="仿宋_GB2312" w:eastAsia="仿宋_GB2312" w:cs="仿宋_GB2312"/>
          <w:b/>
          <w:bCs/>
          <w:kern w:val="2"/>
          <w:sz w:val="32"/>
          <w:szCs w:val="32"/>
          <w:highlight w:val="none"/>
          <w:lang w:val="en-US" w:eastAsia="zh-CN" w:bidi="ar-SA"/>
        </w:rPr>
        <w:t>三是金融宣教广泛化。</w:t>
      </w:r>
      <w:r>
        <w:rPr>
          <w:rFonts w:hint="eastAsia" w:ascii="仿宋_GB2312" w:hAnsi="仿宋_GB2312" w:eastAsia="仿宋_GB2312" w:cs="仿宋_GB2312"/>
          <w:b w:val="0"/>
          <w:bCs w:val="0"/>
          <w:kern w:val="2"/>
          <w:sz w:val="32"/>
          <w:szCs w:val="32"/>
          <w:highlight w:val="none"/>
          <w:lang w:val="en-US" w:eastAsia="zh-CN" w:bidi="ar-SA"/>
        </w:rPr>
        <w:t>贯彻金融宣教常态化要求，通过“线上+线下”“行内+行外”相结合的方式，实施金融知识“五进”宣传活动。秉持“客户即家人”的核心理念，同步提升网点“硬件”和服务“软件”。加强网点反诈宣教和拦截，2024年，青墩、步凤、伍佑、学富支行成功拦截4起假存单和电信诈骗案件，金额合计22万元，守护客户的“钱袋子”。重点针对“一老一少一新”等特殊群体，以“微党课”“微沙龙”“微讲座”“微视频”等方式，持续开展丰富多彩的金融知识宣教活动。2024年，开展户外宣传活动近200场，打通金融宣教“最后一米”。</w:t>
      </w:r>
    </w:p>
    <w:p w14:paraId="0C220764">
      <w:pPr>
        <w:pStyle w:val="10"/>
        <w:keepNext w:val="0"/>
        <w:keepLines w:val="0"/>
        <w:pageBreakBefore w:val="0"/>
        <w:kinsoku/>
        <w:wordWrap/>
        <w:overflowPunct/>
        <w:topLinePunct w:val="0"/>
        <w:bidi w:val="0"/>
        <w:snapToGrid/>
        <w:spacing w:before="0" w:beforeAutospacing="0" w:after="0" w:afterAutospacing="0" w:line="560" w:lineRule="exact"/>
        <w:ind w:firstLine="640" w:firstLineChars="200"/>
        <w:jc w:val="both"/>
        <w:textAlignment w:val="auto"/>
        <w:rPr>
          <w:rFonts w:ascii="黑体" w:hAnsi="黑体" w:eastAsia="黑体" w:cs="仿宋"/>
          <w:sz w:val="32"/>
          <w:szCs w:val="32"/>
        </w:rPr>
      </w:pPr>
      <w:r>
        <w:rPr>
          <w:rFonts w:hint="eastAsia" w:ascii="黑体" w:hAnsi="黑体" w:eastAsia="黑体" w:cs="仿宋"/>
          <w:sz w:val="32"/>
          <w:szCs w:val="32"/>
          <w:lang w:val="en-US" w:eastAsia="zh-CN"/>
        </w:rPr>
        <w:t>六</w:t>
      </w:r>
      <w:r>
        <w:rPr>
          <w:rFonts w:hint="eastAsia" w:ascii="黑体" w:hAnsi="黑体" w:eastAsia="黑体" w:cs="仿宋"/>
          <w:sz w:val="32"/>
          <w:szCs w:val="32"/>
        </w:rPr>
        <w:t>、环境责任</w:t>
      </w:r>
    </w:p>
    <w:p w14:paraId="1B2F682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 w:eastAsia="仿宋_GB2312" w:cs="仿宋"/>
          <w:b/>
          <w:bCs/>
          <w:sz w:val="32"/>
          <w:szCs w:val="32"/>
        </w:rPr>
        <w:t>一是支持绿色信贷。</w:t>
      </w:r>
      <w:r>
        <w:rPr>
          <w:rFonts w:hint="eastAsia" w:ascii="仿宋_GB2312" w:hAnsi="仿宋_GB2312" w:eastAsia="仿宋_GB2312" w:cs="仿宋_GB2312"/>
          <w:color w:val="000000"/>
          <w:kern w:val="2"/>
          <w:sz w:val="32"/>
          <w:szCs w:val="32"/>
          <w:highlight w:val="none"/>
          <w:lang w:val="en-US" w:eastAsia="zh-CN" w:bidi="ar"/>
        </w:rPr>
        <w:t>积极主动融入全市绿色低碳发展示范区建设，立足碳达峰、碳中和的“双碳”目标，切实扛起金融支持绿色发展的责任担当，以“苏质贷”“环保贷”“碳汇收益质押贷”等绿色信贷产品为抓手，把更多的信贷资金用于支持打造绿色低碳产业集群，不断加大对绿色、低碳、循环经济的金融支持，严控落后产能信贷投放。</w:t>
      </w:r>
      <w:r>
        <w:rPr>
          <w:rFonts w:hint="eastAsia" w:ascii="仿宋_GB2312" w:hAnsi="Times New Roman" w:eastAsia="仿宋_GB2312" w:cs="Times New Roman"/>
          <w:sz w:val="32"/>
          <w:szCs w:val="32"/>
          <w:lang w:val="en-US" w:eastAsia="zh-CN"/>
        </w:rPr>
        <w:t>2024年，本行成功发放了全国首笔“高标准农田碳汇收益质押贷款”。</w:t>
      </w:r>
      <w:r>
        <w:rPr>
          <w:rFonts w:hint="eastAsia" w:ascii="仿宋_GB2312" w:hAnsi="仿宋_GB2312" w:eastAsia="仿宋_GB2312" w:cs="仿宋_GB2312"/>
          <w:color w:val="000000"/>
          <w:kern w:val="2"/>
          <w:sz w:val="32"/>
          <w:szCs w:val="32"/>
          <w:highlight w:val="none"/>
          <w:lang w:val="en-US" w:eastAsia="zh-CN" w:bidi="ar"/>
        </w:rPr>
        <w:t>截至2024年末，本行绿色信贷余额8.80亿元，较年初增加0.99亿元，较上年同期多增0.24亿元，增幅12.68%，高于各项贷款增速2.82个百分点。</w:t>
      </w:r>
    </w:p>
    <w:p w14:paraId="7FD2956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 w:eastAsia="仿宋_GB2312" w:cs="仿宋"/>
          <w:b/>
          <w:bCs/>
          <w:sz w:val="32"/>
          <w:szCs w:val="32"/>
        </w:rPr>
        <w:t>二是</w:t>
      </w:r>
      <w:r>
        <w:rPr>
          <w:rFonts w:hint="eastAsia" w:ascii="仿宋_GB2312" w:hAnsi="仿宋" w:eastAsia="仿宋_GB2312" w:cs="仿宋"/>
          <w:b/>
          <w:bCs/>
          <w:sz w:val="32"/>
          <w:szCs w:val="32"/>
          <w:lang w:val="en-US" w:eastAsia="zh-CN"/>
        </w:rPr>
        <w:t>提供</w:t>
      </w:r>
      <w:r>
        <w:rPr>
          <w:rFonts w:hint="eastAsia" w:ascii="仿宋_GB2312" w:hAnsi="仿宋" w:eastAsia="仿宋_GB2312" w:cs="仿宋"/>
          <w:b/>
          <w:bCs/>
          <w:sz w:val="32"/>
          <w:szCs w:val="32"/>
        </w:rPr>
        <w:t>绿色服务。</w:t>
      </w:r>
      <w:r>
        <w:rPr>
          <w:rFonts w:hint="eastAsia" w:ascii="仿宋_GB2312" w:hAnsi="仿宋" w:eastAsia="仿宋_GB2312" w:cs="仿宋"/>
          <w:sz w:val="32"/>
          <w:szCs w:val="32"/>
        </w:rPr>
        <w:t>本行</w:t>
      </w:r>
      <w:r>
        <w:rPr>
          <w:rFonts w:hint="eastAsia" w:ascii="仿宋_GB2312" w:hAnsi="仿宋_GB2312" w:eastAsia="仿宋_GB2312" w:cs="仿宋_GB2312"/>
          <w:b w:val="0"/>
          <w:bCs w:val="0"/>
          <w:kern w:val="0"/>
          <w:sz w:val="32"/>
          <w:szCs w:val="32"/>
        </w:rPr>
        <w:t>制定了《绿色信贷管理办法》等制度办法，</w:t>
      </w:r>
      <w:r>
        <w:rPr>
          <w:rFonts w:hint="eastAsia" w:ascii="仿宋_GB2312" w:hAnsi="仿宋" w:eastAsia="仿宋_GB2312" w:cs="仿宋"/>
          <w:sz w:val="32"/>
          <w:szCs w:val="32"/>
        </w:rPr>
        <w:t>以科技创新践行环保理念，改善网点服务环境，提升客户体验。结合智能网点升级改造，加快推进金融科技应用程度，提高服务效率和客户体验。</w:t>
      </w:r>
      <w:r>
        <w:rPr>
          <w:rFonts w:hint="eastAsia" w:ascii="仿宋_GB2312" w:hAnsi="仿宋_GB2312" w:eastAsia="仿宋_GB2312" w:cs="仿宋_GB2312"/>
          <w:color w:val="000000"/>
          <w:kern w:val="2"/>
          <w:sz w:val="32"/>
          <w:szCs w:val="32"/>
          <w:highlight w:val="none"/>
          <w:lang w:val="en-US" w:eastAsia="zh-CN" w:bidi="ar"/>
        </w:rPr>
        <w:t>切实以产业“含绿量”提升发展“含金量”，坚决当好绿色低碳的参与者、推动者和示范者。</w:t>
      </w:r>
    </w:p>
    <w:p w14:paraId="5B7E5B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三是倡导</w:t>
      </w:r>
      <w:r>
        <w:rPr>
          <w:rFonts w:hint="eastAsia" w:ascii="仿宋_GB2312" w:hAnsi="仿宋" w:eastAsia="仿宋_GB2312" w:cs="仿宋"/>
          <w:b/>
          <w:bCs/>
          <w:sz w:val="32"/>
          <w:szCs w:val="32"/>
          <w:lang w:val="en-US" w:eastAsia="zh-CN"/>
        </w:rPr>
        <w:t>绿色</w:t>
      </w:r>
      <w:r>
        <w:rPr>
          <w:rFonts w:hint="eastAsia" w:ascii="仿宋_GB2312" w:hAnsi="仿宋" w:eastAsia="仿宋_GB2312" w:cs="仿宋"/>
          <w:b/>
          <w:bCs/>
          <w:sz w:val="32"/>
          <w:szCs w:val="32"/>
        </w:rPr>
        <w:t>办公。</w:t>
      </w:r>
      <w:r>
        <w:rPr>
          <w:rFonts w:hint="eastAsia" w:ascii="仿宋_GB2312" w:hAnsi="仿宋" w:eastAsia="仿宋_GB2312" w:cs="仿宋"/>
          <w:sz w:val="32"/>
          <w:szCs w:val="32"/>
        </w:rPr>
        <w:t>加快推进金融科技</w:t>
      </w:r>
      <w:r>
        <w:rPr>
          <w:rFonts w:hint="eastAsia" w:ascii="仿宋_GB2312" w:hAnsi="仿宋" w:eastAsia="仿宋_GB2312" w:cs="仿宋"/>
          <w:sz w:val="32"/>
          <w:szCs w:val="32"/>
          <w:lang w:eastAsia="zh-CN"/>
        </w:rPr>
        <w:t>的应用</w:t>
      </w:r>
      <w:r>
        <w:rPr>
          <w:rFonts w:hint="eastAsia" w:ascii="仿宋_GB2312" w:hAnsi="仿宋" w:eastAsia="仿宋_GB2312" w:cs="仿宋"/>
          <w:sz w:val="32"/>
          <w:szCs w:val="32"/>
        </w:rPr>
        <w:t>，提高</w:t>
      </w:r>
      <w:r>
        <w:rPr>
          <w:rFonts w:hint="eastAsia" w:ascii="仿宋_GB2312" w:hAnsi="仿宋" w:eastAsia="仿宋_GB2312" w:cs="仿宋"/>
          <w:sz w:val="32"/>
          <w:szCs w:val="32"/>
          <w:lang w:eastAsia="zh-CN"/>
        </w:rPr>
        <w:t>全行</w:t>
      </w:r>
      <w:r>
        <w:rPr>
          <w:rFonts w:hint="eastAsia" w:ascii="仿宋_GB2312" w:hAnsi="仿宋" w:eastAsia="仿宋_GB2312" w:cs="仿宋"/>
          <w:sz w:val="32"/>
          <w:szCs w:val="32"/>
        </w:rPr>
        <w:t>信息化</w:t>
      </w:r>
      <w:r>
        <w:rPr>
          <w:rFonts w:hint="eastAsia" w:ascii="仿宋_GB2312" w:hAnsi="仿宋" w:eastAsia="仿宋_GB2312" w:cs="仿宋"/>
          <w:sz w:val="32"/>
          <w:szCs w:val="32"/>
          <w:lang w:val="en-US" w:eastAsia="zh-CN"/>
        </w:rPr>
        <w:t>和</w:t>
      </w:r>
      <w:r>
        <w:rPr>
          <w:rFonts w:hint="eastAsia" w:ascii="仿宋_GB2312" w:hAnsi="仿宋" w:eastAsia="仿宋_GB2312" w:cs="仿宋"/>
          <w:sz w:val="32"/>
          <w:szCs w:val="32"/>
        </w:rPr>
        <w:t>集约化管理水平。</w:t>
      </w:r>
      <w:r>
        <w:rPr>
          <w:rFonts w:hint="eastAsia" w:ascii="仿宋_GB2312" w:hAnsi="仿宋" w:eastAsia="仿宋_GB2312" w:cs="仿宋"/>
          <w:sz w:val="32"/>
          <w:szCs w:val="32"/>
          <w:lang w:eastAsia="zh-CN"/>
        </w:rPr>
        <w:t>本行</w:t>
      </w:r>
      <w:r>
        <w:rPr>
          <w:rFonts w:hint="eastAsia" w:ascii="仿宋_GB2312" w:hAnsi="仿宋" w:eastAsia="仿宋_GB2312" w:cs="仿宋"/>
          <w:sz w:val="32"/>
          <w:szCs w:val="32"/>
        </w:rPr>
        <w:t>自主</w:t>
      </w:r>
      <w:r>
        <w:rPr>
          <w:rFonts w:hint="eastAsia" w:ascii="仿宋_GB2312" w:hAnsi="仿宋" w:eastAsia="仿宋_GB2312" w:cs="仿宋"/>
          <w:sz w:val="32"/>
          <w:szCs w:val="32"/>
          <w:lang w:val="en-US" w:eastAsia="zh-CN"/>
        </w:rPr>
        <w:t>研发</w:t>
      </w:r>
      <w:r>
        <w:rPr>
          <w:rFonts w:hint="eastAsia" w:ascii="仿宋_GB2312" w:hAnsi="仿宋" w:eastAsia="仿宋_GB2312" w:cs="仿宋"/>
          <w:sz w:val="32"/>
          <w:szCs w:val="32"/>
        </w:rPr>
        <w:t>并上线了办公流程平台、授信辅助审批等10多项</w:t>
      </w:r>
      <w:r>
        <w:rPr>
          <w:rFonts w:hint="eastAsia" w:ascii="仿宋_GB2312" w:hAnsi="仿宋" w:eastAsia="仿宋_GB2312" w:cs="仿宋"/>
          <w:sz w:val="32"/>
          <w:szCs w:val="32"/>
          <w:lang w:eastAsia="zh-CN"/>
        </w:rPr>
        <w:t>办公软件</w:t>
      </w:r>
      <w:r>
        <w:rPr>
          <w:rFonts w:hint="eastAsia" w:ascii="仿宋_GB2312" w:hAnsi="仿宋" w:eastAsia="仿宋_GB2312" w:cs="仿宋"/>
          <w:sz w:val="32"/>
          <w:szCs w:val="32"/>
        </w:rPr>
        <w:t>，充分发挥了线上办公</w:t>
      </w:r>
      <w:r>
        <w:rPr>
          <w:rFonts w:hint="eastAsia" w:ascii="仿宋_GB2312" w:hAnsi="仿宋" w:eastAsia="仿宋_GB2312" w:cs="仿宋"/>
          <w:sz w:val="32"/>
          <w:szCs w:val="32"/>
          <w:lang w:eastAsia="zh-CN"/>
        </w:rPr>
        <w:t>系统的</w:t>
      </w:r>
      <w:r>
        <w:rPr>
          <w:rFonts w:hint="eastAsia" w:ascii="仿宋_GB2312" w:hAnsi="仿宋" w:eastAsia="仿宋_GB2312" w:cs="仿宋"/>
          <w:sz w:val="32"/>
          <w:szCs w:val="32"/>
        </w:rPr>
        <w:t>整体性、协同性和便捷性等优势，全行无纸化办公程度越来越高。</w:t>
      </w:r>
    </w:p>
    <w:p w14:paraId="4BAF17C0">
      <w:pPr>
        <w:pStyle w:val="14"/>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仿宋"/>
          <w:spacing w:val="0"/>
          <w:kern w:val="2"/>
          <w:sz w:val="32"/>
          <w:szCs w:val="32"/>
          <w:lang w:val="en-US" w:eastAsia="zh-CN" w:bidi="ar-SA"/>
        </w:rPr>
      </w:pPr>
      <w:r>
        <w:rPr>
          <w:rFonts w:hint="eastAsia" w:ascii="仿宋_GB2312" w:hAnsi="仿宋" w:eastAsia="仿宋_GB2312" w:cs="仿宋"/>
          <w:spacing w:val="0"/>
          <w:kern w:val="2"/>
          <w:sz w:val="32"/>
          <w:szCs w:val="32"/>
          <w:lang w:val="en-US" w:eastAsia="zh-CN" w:bidi="ar-SA"/>
        </w:rPr>
        <w:t>特具报告。</w:t>
      </w:r>
    </w:p>
    <w:p w14:paraId="46877211">
      <w:pPr>
        <w:pStyle w:val="2"/>
        <w:rPr>
          <w:rFonts w:hint="eastAsia" w:ascii="仿宋_GB2312" w:hAnsi="仿宋" w:cs="仿宋"/>
          <w:sz w:val="32"/>
          <w:szCs w:val="32"/>
          <w:lang w:val="en-US" w:eastAsia="zh-CN"/>
        </w:rPr>
      </w:pPr>
    </w:p>
    <w:p w14:paraId="11A2326B">
      <w:pPr>
        <w:pStyle w:val="3"/>
        <w:rPr>
          <w:rFonts w:hint="eastAsia" w:ascii="仿宋_GB2312" w:hAnsi="仿宋" w:cs="仿宋"/>
          <w:sz w:val="32"/>
          <w:szCs w:val="32"/>
          <w:lang w:val="en-US" w:eastAsia="zh-CN"/>
        </w:rPr>
      </w:pPr>
    </w:p>
    <w:p w14:paraId="76D665A5">
      <w:pPr>
        <w:pStyle w:val="3"/>
        <w:jc w:val="both"/>
        <w:rPr>
          <w:rFonts w:hint="eastAsia" w:ascii="仿宋_GB2312" w:hAnsi="仿宋" w:cs="仿宋"/>
          <w:sz w:val="32"/>
          <w:szCs w:val="32"/>
          <w:lang w:val="en-US" w:eastAsia="zh-CN"/>
        </w:rPr>
      </w:pPr>
    </w:p>
    <w:p w14:paraId="28E69A8C">
      <w:pPr>
        <w:pStyle w:val="3"/>
        <w:keepNext w:val="0"/>
        <w:keepLines w:val="0"/>
        <w:pageBreakBefore w:val="0"/>
        <w:widowControl w:val="0"/>
        <w:kinsoku/>
        <w:wordWrap/>
        <w:overflowPunct/>
        <w:topLinePunct w:val="0"/>
        <w:autoSpaceDE/>
        <w:autoSpaceDN/>
        <w:bidi w:val="0"/>
        <w:adjustRightInd/>
        <w:snapToGrid/>
        <w:spacing w:after="0" w:line="560" w:lineRule="exact"/>
        <w:ind w:firstLine="2560" w:firstLineChars="800"/>
        <w:jc w:val="both"/>
        <w:textAlignment w:val="auto"/>
        <w:rPr>
          <w:rFonts w:hint="eastAsia" w:ascii="仿宋_GB2312" w:hAnsi="仿宋" w:eastAsia="仿宋_GB2312" w:cs="仿宋"/>
          <w:kern w:val="2"/>
          <w:sz w:val="32"/>
          <w:szCs w:val="32"/>
          <w:lang w:val="en-US" w:eastAsia="zh-CN" w:bidi="ar-SA"/>
        </w:rPr>
      </w:pPr>
      <w:r>
        <w:rPr>
          <w:rFonts w:hint="eastAsia" w:ascii="仿宋_GB2312" w:hAnsi="仿宋" w:eastAsia="仿宋_GB2312" w:cs="仿宋"/>
          <w:kern w:val="2"/>
          <w:sz w:val="32"/>
          <w:szCs w:val="32"/>
          <w:lang w:val="en-US" w:eastAsia="zh-CN" w:bidi="ar-SA"/>
        </w:rPr>
        <w:t>江苏盐城农村商业银行股份有限公司</w:t>
      </w:r>
    </w:p>
    <w:p w14:paraId="5689BCA3">
      <w:pPr>
        <w:pStyle w:val="3"/>
        <w:keepNext w:val="0"/>
        <w:keepLines w:val="0"/>
        <w:pageBreakBefore w:val="0"/>
        <w:widowControl w:val="0"/>
        <w:kinsoku/>
        <w:wordWrap/>
        <w:overflowPunct/>
        <w:topLinePunct w:val="0"/>
        <w:autoSpaceDE/>
        <w:autoSpaceDN/>
        <w:bidi w:val="0"/>
        <w:adjustRightInd/>
        <w:snapToGrid/>
        <w:spacing w:after="0" w:line="560" w:lineRule="exact"/>
        <w:ind w:firstLine="4160" w:firstLineChars="1300"/>
        <w:jc w:val="both"/>
        <w:textAlignment w:val="auto"/>
        <w:rPr>
          <w:rFonts w:hint="default" w:ascii="仿宋_GB2312" w:hAnsi="仿宋" w:eastAsia="仿宋_GB2312" w:cs="仿宋"/>
          <w:kern w:val="2"/>
          <w:sz w:val="32"/>
          <w:szCs w:val="32"/>
          <w:lang w:val="en-US" w:eastAsia="zh-CN" w:bidi="ar-SA"/>
        </w:rPr>
      </w:pPr>
      <w:r>
        <w:rPr>
          <w:rFonts w:hint="eastAsia" w:ascii="仿宋_GB2312" w:hAnsi="仿宋" w:eastAsia="仿宋_GB2312" w:cs="仿宋"/>
          <w:kern w:val="2"/>
          <w:sz w:val="32"/>
          <w:szCs w:val="32"/>
          <w:lang w:val="en-US" w:eastAsia="zh-CN" w:bidi="ar-SA"/>
        </w:rPr>
        <w:t>2025年1月10日</w:t>
      </w:r>
    </w:p>
    <w:p w14:paraId="0E97ECDB"/>
    <w:sectPr>
      <w:footerReference r:id="rId3" w:type="default"/>
      <w:pgSz w:w="11906" w:h="16838"/>
      <w:pgMar w:top="2098"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36043">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9B5F03">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59B5F03">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3NDYxMmZiMmU3ODQ4OWE5ODVkMTU2MTBiMTQwNTQifQ=="/>
  </w:docVars>
  <w:rsids>
    <w:rsidRoot w:val="361E32B5"/>
    <w:rsid w:val="00135135"/>
    <w:rsid w:val="00280CB1"/>
    <w:rsid w:val="00694DDB"/>
    <w:rsid w:val="00790A4B"/>
    <w:rsid w:val="00C4415E"/>
    <w:rsid w:val="010E607A"/>
    <w:rsid w:val="014E3631"/>
    <w:rsid w:val="01534DD6"/>
    <w:rsid w:val="01A3681D"/>
    <w:rsid w:val="01BF3BCD"/>
    <w:rsid w:val="02181EB1"/>
    <w:rsid w:val="023348B9"/>
    <w:rsid w:val="02C3023C"/>
    <w:rsid w:val="02E57897"/>
    <w:rsid w:val="030B5512"/>
    <w:rsid w:val="03310E80"/>
    <w:rsid w:val="03460D52"/>
    <w:rsid w:val="034A1E06"/>
    <w:rsid w:val="03684017"/>
    <w:rsid w:val="03905BDA"/>
    <w:rsid w:val="03B04577"/>
    <w:rsid w:val="03B8789B"/>
    <w:rsid w:val="043A35C6"/>
    <w:rsid w:val="047551C2"/>
    <w:rsid w:val="0487587A"/>
    <w:rsid w:val="049B2AF2"/>
    <w:rsid w:val="04BE1DF4"/>
    <w:rsid w:val="04F67267"/>
    <w:rsid w:val="05D51387"/>
    <w:rsid w:val="060A6FDB"/>
    <w:rsid w:val="060F33ED"/>
    <w:rsid w:val="064F4788"/>
    <w:rsid w:val="067A7AC5"/>
    <w:rsid w:val="068A3C77"/>
    <w:rsid w:val="072804DC"/>
    <w:rsid w:val="072B1A5A"/>
    <w:rsid w:val="074A11DB"/>
    <w:rsid w:val="07807B8F"/>
    <w:rsid w:val="07C603D5"/>
    <w:rsid w:val="07EC6998"/>
    <w:rsid w:val="084747A3"/>
    <w:rsid w:val="08686945"/>
    <w:rsid w:val="08D021C0"/>
    <w:rsid w:val="09121B88"/>
    <w:rsid w:val="0955288A"/>
    <w:rsid w:val="098A1EFF"/>
    <w:rsid w:val="09A24042"/>
    <w:rsid w:val="09B45E0A"/>
    <w:rsid w:val="0A1759D8"/>
    <w:rsid w:val="0A217A66"/>
    <w:rsid w:val="0A350643"/>
    <w:rsid w:val="0A812AB9"/>
    <w:rsid w:val="0A8975DB"/>
    <w:rsid w:val="0AA35339"/>
    <w:rsid w:val="0AAE6F26"/>
    <w:rsid w:val="0AB2250D"/>
    <w:rsid w:val="0B177D5F"/>
    <w:rsid w:val="0B1F032B"/>
    <w:rsid w:val="0B2A080B"/>
    <w:rsid w:val="0B615D0C"/>
    <w:rsid w:val="0BB05484"/>
    <w:rsid w:val="0BEE17B2"/>
    <w:rsid w:val="0C3A329F"/>
    <w:rsid w:val="0C536F95"/>
    <w:rsid w:val="0C5C2A0D"/>
    <w:rsid w:val="0C8F4DFD"/>
    <w:rsid w:val="0CA81832"/>
    <w:rsid w:val="0D040047"/>
    <w:rsid w:val="0D115E03"/>
    <w:rsid w:val="0D1A189A"/>
    <w:rsid w:val="0D565433"/>
    <w:rsid w:val="0D815DD4"/>
    <w:rsid w:val="0D8C703C"/>
    <w:rsid w:val="0DAB7BD0"/>
    <w:rsid w:val="0DBD5957"/>
    <w:rsid w:val="0DC43D3A"/>
    <w:rsid w:val="0E0455C5"/>
    <w:rsid w:val="0E215B49"/>
    <w:rsid w:val="0E2C3FE2"/>
    <w:rsid w:val="0E807DF1"/>
    <w:rsid w:val="0F1233D8"/>
    <w:rsid w:val="0F3831F9"/>
    <w:rsid w:val="0FE73388"/>
    <w:rsid w:val="0FEE2A5D"/>
    <w:rsid w:val="109B213B"/>
    <w:rsid w:val="10C60591"/>
    <w:rsid w:val="10F86200"/>
    <w:rsid w:val="11314F0C"/>
    <w:rsid w:val="11DF756D"/>
    <w:rsid w:val="11F53124"/>
    <w:rsid w:val="125E65ED"/>
    <w:rsid w:val="12BE1B8B"/>
    <w:rsid w:val="12D351A4"/>
    <w:rsid w:val="12E66FC8"/>
    <w:rsid w:val="12F80F62"/>
    <w:rsid w:val="13073CCE"/>
    <w:rsid w:val="131F5854"/>
    <w:rsid w:val="133B2634"/>
    <w:rsid w:val="13502B1D"/>
    <w:rsid w:val="136610A9"/>
    <w:rsid w:val="136A0DD2"/>
    <w:rsid w:val="140E4D36"/>
    <w:rsid w:val="141A29C4"/>
    <w:rsid w:val="144E24C5"/>
    <w:rsid w:val="147D5456"/>
    <w:rsid w:val="14A72B38"/>
    <w:rsid w:val="14A95F75"/>
    <w:rsid w:val="14E302AF"/>
    <w:rsid w:val="14E46B5B"/>
    <w:rsid w:val="15246DA2"/>
    <w:rsid w:val="15EB7A93"/>
    <w:rsid w:val="15EE1265"/>
    <w:rsid w:val="16A55CC4"/>
    <w:rsid w:val="16B80AD5"/>
    <w:rsid w:val="16EB47C9"/>
    <w:rsid w:val="17283764"/>
    <w:rsid w:val="17A5754C"/>
    <w:rsid w:val="17A94305"/>
    <w:rsid w:val="17AD359E"/>
    <w:rsid w:val="17BC1A79"/>
    <w:rsid w:val="18C26A4E"/>
    <w:rsid w:val="18C3597D"/>
    <w:rsid w:val="18CD1DB7"/>
    <w:rsid w:val="18FA566F"/>
    <w:rsid w:val="19070D54"/>
    <w:rsid w:val="196842EC"/>
    <w:rsid w:val="19737C28"/>
    <w:rsid w:val="1A393EDF"/>
    <w:rsid w:val="1A461D75"/>
    <w:rsid w:val="1A5A57FA"/>
    <w:rsid w:val="1A663102"/>
    <w:rsid w:val="1A6A3721"/>
    <w:rsid w:val="1A9A6CB3"/>
    <w:rsid w:val="1B033CBF"/>
    <w:rsid w:val="1B4901D4"/>
    <w:rsid w:val="1B557816"/>
    <w:rsid w:val="1B573B26"/>
    <w:rsid w:val="1B5B7FF3"/>
    <w:rsid w:val="1BE4151A"/>
    <w:rsid w:val="1C2135B1"/>
    <w:rsid w:val="1C870A76"/>
    <w:rsid w:val="1C8F47BD"/>
    <w:rsid w:val="1CB13D1B"/>
    <w:rsid w:val="1CBC2CAC"/>
    <w:rsid w:val="1CBC4A8C"/>
    <w:rsid w:val="1CCE05ED"/>
    <w:rsid w:val="1CFA7147"/>
    <w:rsid w:val="1D2A5EA4"/>
    <w:rsid w:val="1D3E06EA"/>
    <w:rsid w:val="1D6D33E1"/>
    <w:rsid w:val="1D984357"/>
    <w:rsid w:val="1DB267F3"/>
    <w:rsid w:val="1DBE5B73"/>
    <w:rsid w:val="1E175E06"/>
    <w:rsid w:val="1E3D19C4"/>
    <w:rsid w:val="1E532CA5"/>
    <w:rsid w:val="1EFC4755"/>
    <w:rsid w:val="1F130856"/>
    <w:rsid w:val="1F202BEF"/>
    <w:rsid w:val="1F3B576A"/>
    <w:rsid w:val="1F8F64FF"/>
    <w:rsid w:val="1F982132"/>
    <w:rsid w:val="1FB67CAD"/>
    <w:rsid w:val="1FB808DF"/>
    <w:rsid w:val="1FC544BC"/>
    <w:rsid w:val="1FE93E3C"/>
    <w:rsid w:val="1FF10780"/>
    <w:rsid w:val="20207C0E"/>
    <w:rsid w:val="2058178A"/>
    <w:rsid w:val="205F1C98"/>
    <w:rsid w:val="20AA51EA"/>
    <w:rsid w:val="20D848C6"/>
    <w:rsid w:val="20F32961"/>
    <w:rsid w:val="20F83CF0"/>
    <w:rsid w:val="21475751"/>
    <w:rsid w:val="21E10E32"/>
    <w:rsid w:val="21E843F5"/>
    <w:rsid w:val="220A4192"/>
    <w:rsid w:val="22124405"/>
    <w:rsid w:val="224B0A33"/>
    <w:rsid w:val="229C59F0"/>
    <w:rsid w:val="22E50A22"/>
    <w:rsid w:val="230E633D"/>
    <w:rsid w:val="2314408E"/>
    <w:rsid w:val="23353491"/>
    <w:rsid w:val="235475EB"/>
    <w:rsid w:val="236C6857"/>
    <w:rsid w:val="23AD25A1"/>
    <w:rsid w:val="23E76CEE"/>
    <w:rsid w:val="242D149B"/>
    <w:rsid w:val="24792117"/>
    <w:rsid w:val="24D74279"/>
    <w:rsid w:val="24F12C0A"/>
    <w:rsid w:val="25B9415D"/>
    <w:rsid w:val="25E76599"/>
    <w:rsid w:val="25FE7715"/>
    <w:rsid w:val="260F7FFD"/>
    <w:rsid w:val="261A45EC"/>
    <w:rsid w:val="26216D9C"/>
    <w:rsid w:val="26945739"/>
    <w:rsid w:val="26F9624C"/>
    <w:rsid w:val="2733115F"/>
    <w:rsid w:val="273B17F1"/>
    <w:rsid w:val="27625571"/>
    <w:rsid w:val="27714AA4"/>
    <w:rsid w:val="27B626AB"/>
    <w:rsid w:val="27F520A3"/>
    <w:rsid w:val="28063134"/>
    <w:rsid w:val="283310CF"/>
    <w:rsid w:val="28510EC6"/>
    <w:rsid w:val="28765FE7"/>
    <w:rsid w:val="29245656"/>
    <w:rsid w:val="295A6340"/>
    <w:rsid w:val="298966F7"/>
    <w:rsid w:val="29BE37E6"/>
    <w:rsid w:val="29DA7FA4"/>
    <w:rsid w:val="2A2E5621"/>
    <w:rsid w:val="2A394A13"/>
    <w:rsid w:val="2A8144A9"/>
    <w:rsid w:val="2AB36130"/>
    <w:rsid w:val="2B2C0B17"/>
    <w:rsid w:val="2B606B86"/>
    <w:rsid w:val="2B6A2F90"/>
    <w:rsid w:val="2BC571B8"/>
    <w:rsid w:val="2BD21ED3"/>
    <w:rsid w:val="2BD261C6"/>
    <w:rsid w:val="2C170EEA"/>
    <w:rsid w:val="2C7E1352"/>
    <w:rsid w:val="2CA0538E"/>
    <w:rsid w:val="2CEC3406"/>
    <w:rsid w:val="2D2B1461"/>
    <w:rsid w:val="2E001E30"/>
    <w:rsid w:val="2E174893"/>
    <w:rsid w:val="2E4C39F0"/>
    <w:rsid w:val="2E7C01C6"/>
    <w:rsid w:val="2E855CA8"/>
    <w:rsid w:val="2EE16C47"/>
    <w:rsid w:val="2EE22507"/>
    <w:rsid w:val="2F377CAB"/>
    <w:rsid w:val="2F38200D"/>
    <w:rsid w:val="2F422C77"/>
    <w:rsid w:val="2FC9776E"/>
    <w:rsid w:val="2FD71012"/>
    <w:rsid w:val="300D3318"/>
    <w:rsid w:val="30787A1D"/>
    <w:rsid w:val="30CA70E7"/>
    <w:rsid w:val="30F304E8"/>
    <w:rsid w:val="31351F8B"/>
    <w:rsid w:val="31386484"/>
    <w:rsid w:val="31AB3279"/>
    <w:rsid w:val="31AD09E7"/>
    <w:rsid w:val="31B82B92"/>
    <w:rsid w:val="31E31D32"/>
    <w:rsid w:val="31F92159"/>
    <w:rsid w:val="323F5C0A"/>
    <w:rsid w:val="323F78D8"/>
    <w:rsid w:val="32634621"/>
    <w:rsid w:val="32755A84"/>
    <w:rsid w:val="32760351"/>
    <w:rsid w:val="327D5892"/>
    <w:rsid w:val="327F4693"/>
    <w:rsid w:val="32A6125C"/>
    <w:rsid w:val="32C47767"/>
    <w:rsid w:val="332C33C8"/>
    <w:rsid w:val="333F3BF7"/>
    <w:rsid w:val="334C0C8A"/>
    <w:rsid w:val="336A0AB7"/>
    <w:rsid w:val="33811961"/>
    <w:rsid w:val="33F66290"/>
    <w:rsid w:val="34250C9C"/>
    <w:rsid w:val="348778C5"/>
    <w:rsid w:val="34A21E55"/>
    <w:rsid w:val="34B97D62"/>
    <w:rsid w:val="34BB3F34"/>
    <w:rsid w:val="34CC52D7"/>
    <w:rsid w:val="34E95323"/>
    <w:rsid w:val="357D65A4"/>
    <w:rsid w:val="35A43134"/>
    <w:rsid w:val="361E32B5"/>
    <w:rsid w:val="362B0F63"/>
    <w:rsid w:val="363D7231"/>
    <w:rsid w:val="365B5565"/>
    <w:rsid w:val="368A363B"/>
    <w:rsid w:val="36AA08B5"/>
    <w:rsid w:val="36B6120C"/>
    <w:rsid w:val="36BC0F1D"/>
    <w:rsid w:val="36C07F15"/>
    <w:rsid w:val="36DE32DB"/>
    <w:rsid w:val="374A2527"/>
    <w:rsid w:val="37654156"/>
    <w:rsid w:val="377C0A04"/>
    <w:rsid w:val="379505D9"/>
    <w:rsid w:val="379D0687"/>
    <w:rsid w:val="37DC516A"/>
    <w:rsid w:val="37ED0611"/>
    <w:rsid w:val="37F7298C"/>
    <w:rsid w:val="385E4E87"/>
    <w:rsid w:val="386B4DA8"/>
    <w:rsid w:val="386C3940"/>
    <w:rsid w:val="399D35AC"/>
    <w:rsid w:val="39CB2B5D"/>
    <w:rsid w:val="39CE20E4"/>
    <w:rsid w:val="3A842E17"/>
    <w:rsid w:val="3AE43F5E"/>
    <w:rsid w:val="3B227EB7"/>
    <w:rsid w:val="3B374193"/>
    <w:rsid w:val="3B4445B5"/>
    <w:rsid w:val="3B4A7456"/>
    <w:rsid w:val="3B566C8B"/>
    <w:rsid w:val="3B5A3319"/>
    <w:rsid w:val="3B807BD6"/>
    <w:rsid w:val="3C6D7DE4"/>
    <w:rsid w:val="3C752529"/>
    <w:rsid w:val="3C83103C"/>
    <w:rsid w:val="3CA80015"/>
    <w:rsid w:val="3CBB0487"/>
    <w:rsid w:val="3CBC1AA8"/>
    <w:rsid w:val="3D235F44"/>
    <w:rsid w:val="3D304CAE"/>
    <w:rsid w:val="3DC74076"/>
    <w:rsid w:val="3DCF240E"/>
    <w:rsid w:val="3DE9517B"/>
    <w:rsid w:val="3E1351B0"/>
    <w:rsid w:val="3E607B42"/>
    <w:rsid w:val="3E6A2CAF"/>
    <w:rsid w:val="3E94025A"/>
    <w:rsid w:val="3E957658"/>
    <w:rsid w:val="3EC667C5"/>
    <w:rsid w:val="3ED100BA"/>
    <w:rsid w:val="3F010273"/>
    <w:rsid w:val="3F0A54CD"/>
    <w:rsid w:val="3F171845"/>
    <w:rsid w:val="3F3B39B2"/>
    <w:rsid w:val="3F4168C2"/>
    <w:rsid w:val="3F8A6747"/>
    <w:rsid w:val="3FA402D6"/>
    <w:rsid w:val="3FB46CC6"/>
    <w:rsid w:val="40087305"/>
    <w:rsid w:val="403B25A9"/>
    <w:rsid w:val="403C702C"/>
    <w:rsid w:val="40506275"/>
    <w:rsid w:val="406C30E0"/>
    <w:rsid w:val="407225B8"/>
    <w:rsid w:val="408B5426"/>
    <w:rsid w:val="40B9788D"/>
    <w:rsid w:val="40C7623D"/>
    <w:rsid w:val="40F25866"/>
    <w:rsid w:val="41072993"/>
    <w:rsid w:val="41311DCE"/>
    <w:rsid w:val="41480C36"/>
    <w:rsid w:val="419C70B2"/>
    <w:rsid w:val="41DA711D"/>
    <w:rsid w:val="41FB5723"/>
    <w:rsid w:val="427F7828"/>
    <w:rsid w:val="429808CC"/>
    <w:rsid w:val="42AB582D"/>
    <w:rsid w:val="42AC619D"/>
    <w:rsid w:val="4309165A"/>
    <w:rsid w:val="430D7867"/>
    <w:rsid w:val="43184797"/>
    <w:rsid w:val="43390029"/>
    <w:rsid w:val="439169CA"/>
    <w:rsid w:val="43AE4FD5"/>
    <w:rsid w:val="43E1582E"/>
    <w:rsid w:val="448B6D05"/>
    <w:rsid w:val="44916AF6"/>
    <w:rsid w:val="44954A6E"/>
    <w:rsid w:val="449E7DE0"/>
    <w:rsid w:val="44EB7DCF"/>
    <w:rsid w:val="45054EBE"/>
    <w:rsid w:val="45091BC1"/>
    <w:rsid w:val="457C2EC7"/>
    <w:rsid w:val="45E408DF"/>
    <w:rsid w:val="45EB4A87"/>
    <w:rsid w:val="45F81A6F"/>
    <w:rsid w:val="45FB4C9E"/>
    <w:rsid w:val="4614653F"/>
    <w:rsid w:val="46271597"/>
    <w:rsid w:val="463677D9"/>
    <w:rsid w:val="467966D7"/>
    <w:rsid w:val="468F47A5"/>
    <w:rsid w:val="46B11FCD"/>
    <w:rsid w:val="47362E5A"/>
    <w:rsid w:val="47A77F56"/>
    <w:rsid w:val="47B36637"/>
    <w:rsid w:val="47BA0503"/>
    <w:rsid w:val="47DF3547"/>
    <w:rsid w:val="48091BF2"/>
    <w:rsid w:val="4828000F"/>
    <w:rsid w:val="48312821"/>
    <w:rsid w:val="48385319"/>
    <w:rsid w:val="489055A0"/>
    <w:rsid w:val="49063942"/>
    <w:rsid w:val="498078B1"/>
    <w:rsid w:val="49AC1C72"/>
    <w:rsid w:val="49FC633D"/>
    <w:rsid w:val="4A1E645A"/>
    <w:rsid w:val="4A490CF0"/>
    <w:rsid w:val="4A532973"/>
    <w:rsid w:val="4AD7089D"/>
    <w:rsid w:val="4AD75943"/>
    <w:rsid w:val="4AE606E8"/>
    <w:rsid w:val="4B1D0A9B"/>
    <w:rsid w:val="4B48530C"/>
    <w:rsid w:val="4B5C0E10"/>
    <w:rsid w:val="4BAA1851"/>
    <w:rsid w:val="4C23525D"/>
    <w:rsid w:val="4C406CB8"/>
    <w:rsid w:val="4C445F87"/>
    <w:rsid w:val="4C4A123D"/>
    <w:rsid w:val="4CA930A9"/>
    <w:rsid w:val="4CB8504E"/>
    <w:rsid w:val="4CD47885"/>
    <w:rsid w:val="4D0B5DCE"/>
    <w:rsid w:val="4D283288"/>
    <w:rsid w:val="4DAD6FF5"/>
    <w:rsid w:val="4DB15121"/>
    <w:rsid w:val="4DB93CDB"/>
    <w:rsid w:val="4DC35E5F"/>
    <w:rsid w:val="4DD21492"/>
    <w:rsid w:val="4DEB468D"/>
    <w:rsid w:val="4E173263"/>
    <w:rsid w:val="4E4B393C"/>
    <w:rsid w:val="4E7E27E5"/>
    <w:rsid w:val="4E7F77C4"/>
    <w:rsid w:val="4EFC7443"/>
    <w:rsid w:val="4F135489"/>
    <w:rsid w:val="4F1B2C8C"/>
    <w:rsid w:val="4F215091"/>
    <w:rsid w:val="4F577C7D"/>
    <w:rsid w:val="4F730D1A"/>
    <w:rsid w:val="4FB70C06"/>
    <w:rsid w:val="50025D72"/>
    <w:rsid w:val="500D00BC"/>
    <w:rsid w:val="50312BFD"/>
    <w:rsid w:val="50563E56"/>
    <w:rsid w:val="50B4396D"/>
    <w:rsid w:val="50D55E6A"/>
    <w:rsid w:val="50EA0B67"/>
    <w:rsid w:val="5128452F"/>
    <w:rsid w:val="515C616B"/>
    <w:rsid w:val="51B96C41"/>
    <w:rsid w:val="51CB05E9"/>
    <w:rsid w:val="52515F5D"/>
    <w:rsid w:val="52692B1B"/>
    <w:rsid w:val="5292759F"/>
    <w:rsid w:val="53042E90"/>
    <w:rsid w:val="53387905"/>
    <w:rsid w:val="53914D23"/>
    <w:rsid w:val="53A47AC2"/>
    <w:rsid w:val="53AF689B"/>
    <w:rsid w:val="53B37B47"/>
    <w:rsid w:val="540351AF"/>
    <w:rsid w:val="54714786"/>
    <w:rsid w:val="5474633D"/>
    <w:rsid w:val="548C106B"/>
    <w:rsid w:val="54B425BF"/>
    <w:rsid w:val="551410A4"/>
    <w:rsid w:val="556C5FEF"/>
    <w:rsid w:val="55A65AA1"/>
    <w:rsid w:val="55EF1FC8"/>
    <w:rsid w:val="55FF2F05"/>
    <w:rsid w:val="56071D19"/>
    <w:rsid w:val="56147421"/>
    <w:rsid w:val="562F0A6D"/>
    <w:rsid w:val="565B0981"/>
    <w:rsid w:val="565F69C7"/>
    <w:rsid w:val="566A6AC2"/>
    <w:rsid w:val="567765ED"/>
    <w:rsid w:val="569752EE"/>
    <w:rsid w:val="56992E7A"/>
    <w:rsid w:val="57015387"/>
    <w:rsid w:val="576158FB"/>
    <w:rsid w:val="57987EC6"/>
    <w:rsid w:val="57EE1C5A"/>
    <w:rsid w:val="587D03BD"/>
    <w:rsid w:val="58887B6E"/>
    <w:rsid w:val="588F0985"/>
    <w:rsid w:val="58B27ECF"/>
    <w:rsid w:val="58CA01AA"/>
    <w:rsid w:val="594A0E15"/>
    <w:rsid w:val="594D4CB9"/>
    <w:rsid w:val="59887A41"/>
    <w:rsid w:val="59AB392B"/>
    <w:rsid w:val="5A0F395B"/>
    <w:rsid w:val="5A3930A8"/>
    <w:rsid w:val="5A4603E9"/>
    <w:rsid w:val="5A6E785F"/>
    <w:rsid w:val="5ABE5090"/>
    <w:rsid w:val="5ADE3760"/>
    <w:rsid w:val="5B7D67DD"/>
    <w:rsid w:val="5BED3721"/>
    <w:rsid w:val="5C0C2085"/>
    <w:rsid w:val="5C1D52A8"/>
    <w:rsid w:val="5C517288"/>
    <w:rsid w:val="5CAD0B0A"/>
    <w:rsid w:val="5CB0650D"/>
    <w:rsid w:val="5D0A2C15"/>
    <w:rsid w:val="5D526037"/>
    <w:rsid w:val="5D7767E9"/>
    <w:rsid w:val="5D9B0F81"/>
    <w:rsid w:val="5DAD16B5"/>
    <w:rsid w:val="5DDB3E54"/>
    <w:rsid w:val="5DED4A13"/>
    <w:rsid w:val="5DFB4093"/>
    <w:rsid w:val="5E421FE3"/>
    <w:rsid w:val="5E474DA5"/>
    <w:rsid w:val="5E5F3AFD"/>
    <w:rsid w:val="5F021B65"/>
    <w:rsid w:val="5F040A84"/>
    <w:rsid w:val="5F1319BD"/>
    <w:rsid w:val="5F482232"/>
    <w:rsid w:val="5F795107"/>
    <w:rsid w:val="5F7B1CAD"/>
    <w:rsid w:val="5FA15EA3"/>
    <w:rsid w:val="5FD35A0A"/>
    <w:rsid w:val="5FD72C5A"/>
    <w:rsid w:val="60415393"/>
    <w:rsid w:val="60454533"/>
    <w:rsid w:val="609C43FB"/>
    <w:rsid w:val="60E67F1D"/>
    <w:rsid w:val="60E92A10"/>
    <w:rsid w:val="619C7C5C"/>
    <w:rsid w:val="61C33AFD"/>
    <w:rsid w:val="61D36535"/>
    <w:rsid w:val="61DE0DE3"/>
    <w:rsid w:val="62753014"/>
    <w:rsid w:val="62DA121A"/>
    <w:rsid w:val="62DB4B57"/>
    <w:rsid w:val="63D35BE4"/>
    <w:rsid w:val="63F8297B"/>
    <w:rsid w:val="64766609"/>
    <w:rsid w:val="647E7ED3"/>
    <w:rsid w:val="64853539"/>
    <w:rsid w:val="649A13E0"/>
    <w:rsid w:val="64B767F2"/>
    <w:rsid w:val="64E27DEC"/>
    <w:rsid w:val="64F81E10"/>
    <w:rsid w:val="650F3138"/>
    <w:rsid w:val="658F7D3B"/>
    <w:rsid w:val="65951635"/>
    <w:rsid w:val="661D6FB0"/>
    <w:rsid w:val="664C7635"/>
    <w:rsid w:val="66507267"/>
    <w:rsid w:val="66823A9C"/>
    <w:rsid w:val="66D24E9B"/>
    <w:rsid w:val="66F00E6A"/>
    <w:rsid w:val="6704139D"/>
    <w:rsid w:val="67275B90"/>
    <w:rsid w:val="67284365"/>
    <w:rsid w:val="672D026C"/>
    <w:rsid w:val="673758CF"/>
    <w:rsid w:val="6765039A"/>
    <w:rsid w:val="67A62756"/>
    <w:rsid w:val="67FF3D5F"/>
    <w:rsid w:val="683452E1"/>
    <w:rsid w:val="684A4536"/>
    <w:rsid w:val="68556089"/>
    <w:rsid w:val="68893DE2"/>
    <w:rsid w:val="68A06A22"/>
    <w:rsid w:val="68A32BE0"/>
    <w:rsid w:val="68A67612"/>
    <w:rsid w:val="68AC1A18"/>
    <w:rsid w:val="68CF7D7A"/>
    <w:rsid w:val="68F47006"/>
    <w:rsid w:val="690312C9"/>
    <w:rsid w:val="699A11DF"/>
    <w:rsid w:val="69A22A60"/>
    <w:rsid w:val="69B0699A"/>
    <w:rsid w:val="69DD3D6A"/>
    <w:rsid w:val="6A230478"/>
    <w:rsid w:val="6A327749"/>
    <w:rsid w:val="6A5B32B7"/>
    <w:rsid w:val="6A6B7D13"/>
    <w:rsid w:val="6A773B37"/>
    <w:rsid w:val="6A950076"/>
    <w:rsid w:val="6AF0035A"/>
    <w:rsid w:val="6B035F8B"/>
    <w:rsid w:val="6B0D582B"/>
    <w:rsid w:val="6B6D4043"/>
    <w:rsid w:val="6B6E31D1"/>
    <w:rsid w:val="6B6E4691"/>
    <w:rsid w:val="6BD82850"/>
    <w:rsid w:val="6BDB7199"/>
    <w:rsid w:val="6BED4F40"/>
    <w:rsid w:val="6C2158E1"/>
    <w:rsid w:val="6C423430"/>
    <w:rsid w:val="6C5E2013"/>
    <w:rsid w:val="6C75597E"/>
    <w:rsid w:val="6CA923E7"/>
    <w:rsid w:val="6CAF2966"/>
    <w:rsid w:val="6CD81D64"/>
    <w:rsid w:val="6CE91967"/>
    <w:rsid w:val="6D597F46"/>
    <w:rsid w:val="6D5E0058"/>
    <w:rsid w:val="6D6161D4"/>
    <w:rsid w:val="6D663923"/>
    <w:rsid w:val="6D6A3415"/>
    <w:rsid w:val="6E074EF4"/>
    <w:rsid w:val="6E2A7478"/>
    <w:rsid w:val="6E5F6200"/>
    <w:rsid w:val="6E897704"/>
    <w:rsid w:val="6ECD47D8"/>
    <w:rsid w:val="6ED91562"/>
    <w:rsid w:val="6EDA70EE"/>
    <w:rsid w:val="6F1D7500"/>
    <w:rsid w:val="6F76166B"/>
    <w:rsid w:val="6F8771B8"/>
    <w:rsid w:val="6F900E9E"/>
    <w:rsid w:val="6F902C9D"/>
    <w:rsid w:val="6FB144B5"/>
    <w:rsid w:val="6FEE5D5C"/>
    <w:rsid w:val="700E3F35"/>
    <w:rsid w:val="7016178E"/>
    <w:rsid w:val="703D28E9"/>
    <w:rsid w:val="70577354"/>
    <w:rsid w:val="7061722B"/>
    <w:rsid w:val="70863190"/>
    <w:rsid w:val="71557491"/>
    <w:rsid w:val="71953379"/>
    <w:rsid w:val="71CC23C5"/>
    <w:rsid w:val="71D85158"/>
    <w:rsid w:val="720450A8"/>
    <w:rsid w:val="72217866"/>
    <w:rsid w:val="722608B4"/>
    <w:rsid w:val="722D51A3"/>
    <w:rsid w:val="72405C54"/>
    <w:rsid w:val="72455DEF"/>
    <w:rsid w:val="726A0EB7"/>
    <w:rsid w:val="728B0D9B"/>
    <w:rsid w:val="72BD03C1"/>
    <w:rsid w:val="72C4224C"/>
    <w:rsid w:val="72C80B18"/>
    <w:rsid w:val="72D153E2"/>
    <w:rsid w:val="73652695"/>
    <w:rsid w:val="73770A59"/>
    <w:rsid w:val="746429F8"/>
    <w:rsid w:val="74A51C26"/>
    <w:rsid w:val="75056A0D"/>
    <w:rsid w:val="753C0E60"/>
    <w:rsid w:val="758D69EC"/>
    <w:rsid w:val="759F719B"/>
    <w:rsid w:val="75E35652"/>
    <w:rsid w:val="762436BA"/>
    <w:rsid w:val="765552AD"/>
    <w:rsid w:val="76777EAB"/>
    <w:rsid w:val="76830A6A"/>
    <w:rsid w:val="770A0BAD"/>
    <w:rsid w:val="774E0D5B"/>
    <w:rsid w:val="7767729F"/>
    <w:rsid w:val="77910914"/>
    <w:rsid w:val="779C76C8"/>
    <w:rsid w:val="781160D2"/>
    <w:rsid w:val="78611184"/>
    <w:rsid w:val="78653623"/>
    <w:rsid w:val="786A5C69"/>
    <w:rsid w:val="787F43E0"/>
    <w:rsid w:val="78847F40"/>
    <w:rsid w:val="78930249"/>
    <w:rsid w:val="78976C6A"/>
    <w:rsid w:val="794F5524"/>
    <w:rsid w:val="795C4D54"/>
    <w:rsid w:val="797D2099"/>
    <w:rsid w:val="798C288A"/>
    <w:rsid w:val="79D00503"/>
    <w:rsid w:val="7A23109B"/>
    <w:rsid w:val="7A300B42"/>
    <w:rsid w:val="7A3573D6"/>
    <w:rsid w:val="7A3F5B69"/>
    <w:rsid w:val="7A673C62"/>
    <w:rsid w:val="7A794599"/>
    <w:rsid w:val="7A8C09FB"/>
    <w:rsid w:val="7AAE5443"/>
    <w:rsid w:val="7B1F0CEA"/>
    <w:rsid w:val="7B3E6724"/>
    <w:rsid w:val="7B67733C"/>
    <w:rsid w:val="7B7C5FC8"/>
    <w:rsid w:val="7BF05664"/>
    <w:rsid w:val="7C7F685A"/>
    <w:rsid w:val="7C88074A"/>
    <w:rsid w:val="7CBB3234"/>
    <w:rsid w:val="7CFF6DC5"/>
    <w:rsid w:val="7D0E60D3"/>
    <w:rsid w:val="7D13468B"/>
    <w:rsid w:val="7D140B06"/>
    <w:rsid w:val="7D6270B3"/>
    <w:rsid w:val="7D776FF1"/>
    <w:rsid w:val="7E270989"/>
    <w:rsid w:val="7E3E7657"/>
    <w:rsid w:val="7ED42F42"/>
    <w:rsid w:val="7F435E1F"/>
    <w:rsid w:val="7F6556D9"/>
    <w:rsid w:val="7F833DB1"/>
    <w:rsid w:val="7FA86FF0"/>
    <w:rsid w:val="7FF45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3"/>
    <w:basedOn w:val="1"/>
    <w:next w:val="1"/>
    <w:autoRedefine/>
    <w:unhideWhenUsed/>
    <w:qFormat/>
    <w:uiPriority w:val="1"/>
    <w:pPr>
      <w:outlineLvl w:val="2"/>
    </w:pPr>
    <w:rPr>
      <w:rFonts w:ascii="仿宋_GB2312" w:hAnsi="仿宋_GB2312" w:eastAsia="仿宋_GB2312"/>
      <w:kern w:val="0"/>
      <w:szCs w:val="24"/>
    </w:rPr>
  </w:style>
  <w:style w:type="character" w:default="1" w:styleId="13">
    <w:name w:val="Default Paragraph Font"/>
    <w:autoRedefine/>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Title"/>
    <w:basedOn w:val="1"/>
    <w:next w:val="3"/>
    <w:autoRedefine/>
    <w:qFormat/>
    <w:uiPriority w:val="0"/>
    <w:pPr>
      <w:jc w:val="center"/>
      <w:outlineLvl w:val="0"/>
    </w:pPr>
    <w:rPr>
      <w:rFonts w:ascii="Arial" w:hAnsi="Arial" w:eastAsia="宋体" w:cs="Times New Roman"/>
      <w:b/>
      <w:sz w:val="32"/>
      <w:szCs w:val="24"/>
    </w:rPr>
  </w:style>
  <w:style w:type="paragraph" w:customStyle="1" w:styleId="3">
    <w:name w:val="正文文本缩进1"/>
    <w:basedOn w:val="1"/>
    <w:qFormat/>
    <w:uiPriority w:val="0"/>
    <w:pPr>
      <w:spacing w:after="120"/>
      <w:ind w:left="420" w:leftChars="200"/>
    </w:pPr>
  </w:style>
  <w:style w:type="paragraph" w:styleId="5">
    <w:name w:val="Body Text"/>
    <w:autoRedefine/>
    <w:unhideWhenUsed/>
    <w:qFormat/>
    <w:uiPriority w:val="99"/>
    <w:pPr>
      <w:widowControl w:val="0"/>
      <w:spacing w:after="120"/>
      <w:jc w:val="both"/>
    </w:pPr>
    <w:rPr>
      <w:rFonts w:ascii="Times New Roman" w:hAnsi="Times New Roman" w:eastAsia="宋体" w:cs="Times New Roman"/>
      <w:kern w:val="2"/>
      <w:sz w:val="21"/>
      <w:szCs w:val="24"/>
      <w:lang w:val="en-US" w:eastAsia="zh-CN" w:bidi="ar-SA"/>
    </w:rPr>
  </w:style>
  <w:style w:type="paragraph" w:styleId="6">
    <w:name w:val="Body Text Indent"/>
    <w:basedOn w:val="1"/>
    <w:autoRedefine/>
    <w:qFormat/>
    <w:uiPriority w:val="0"/>
    <w:pPr>
      <w:spacing w:after="120"/>
      <w:ind w:left="420" w:leftChars="200"/>
    </w:pPr>
    <w:rPr>
      <w:kern w:val="0"/>
    </w:rPr>
  </w:style>
  <w:style w:type="paragraph" w:styleId="7">
    <w:name w:val="Block Text"/>
    <w:basedOn w:val="1"/>
    <w:autoRedefine/>
    <w:qFormat/>
    <w:uiPriority w:val="0"/>
    <w:pPr>
      <w:spacing w:before="100" w:beforeAutospacing="1" w:after="120"/>
      <w:ind w:left="700" w:leftChars="700" w:right="700" w:rightChars="700"/>
    </w:pPr>
    <w:rPr>
      <w:szCs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11">
    <w:name w:val="Body Text First Indent 2"/>
    <w:basedOn w:val="6"/>
    <w:next w:val="7"/>
    <w:autoRedefine/>
    <w:qFormat/>
    <w:uiPriority w:val="0"/>
    <w:pPr>
      <w:autoSpaceDE w:val="0"/>
      <w:autoSpaceDN w:val="0"/>
      <w:adjustRightInd w:val="0"/>
      <w:spacing w:after="0" w:line="400" w:lineRule="exact"/>
      <w:ind w:left="0" w:leftChars="0" w:firstLine="420" w:firstLineChars="200"/>
      <w:jc w:val="left"/>
    </w:pPr>
    <w:rPr>
      <w:rFonts w:ascii="楷体_GB2312" w:hAnsi="华文彩云"/>
      <w:sz w:val="24"/>
      <w:szCs w:val="21"/>
    </w:rPr>
  </w:style>
  <w:style w:type="paragraph" w:customStyle="1" w:styleId="14">
    <w:name w:val="三级1"/>
    <w:next w:val="2"/>
    <w:qFormat/>
    <w:uiPriority w:val="0"/>
    <w:pPr>
      <w:ind w:left="2422" w:hanging="720"/>
    </w:pPr>
    <w:rPr>
      <w:rFonts w:ascii="宋体" w:hAnsi="宋体" w:eastAsia="仿宋_GB2312" w:cs="Times New Roman"/>
      <w:spacing w:val="10"/>
      <w:kern w:val="0"/>
      <w:sz w:val="32"/>
      <w:szCs w:val="20"/>
      <w:lang w:val="en-US" w:eastAsia="zh-CN" w:bidi="ar-SA"/>
    </w:rPr>
  </w:style>
  <w:style w:type="paragraph" w:styleId="15">
    <w:name w:val="List Paragraph"/>
    <w:basedOn w:val="1"/>
    <w:autoRedefine/>
    <w:qFormat/>
    <w:uiPriority w:val="34"/>
    <w:pPr>
      <w:ind w:firstLine="420" w:firstLineChars="200"/>
    </w:pPr>
    <w:rPr>
      <w:rFonts w:ascii="Times New Roman" w:hAnsi="Times New Roman"/>
      <w:szCs w:val="24"/>
    </w:rPr>
  </w:style>
  <w:style w:type="paragraph" w:customStyle="1" w:styleId="16">
    <w:name w:val="Body Text First Indent 2_6f44b84f-63aa-4ed0-a631-2db725315221"/>
    <w:basedOn w:val="17"/>
    <w:autoRedefine/>
    <w:qFormat/>
    <w:uiPriority w:val="0"/>
    <w:pPr>
      <w:ind w:firstLine="420" w:firstLineChars="200"/>
    </w:pPr>
  </w:style>
  <w:style w:type="paragraph" w:customStyle="1" w:styleId="17">
    <w:name w:val="Body Text Indent_a968ee00-8b83-4134-9a91-4cbdc62261a4"/>
    <w:basedOn w:val="1"/>
    <w:autoRedefine/>
    <w:qFormat/>
    <w:uiPriority w:val="0"/>
    <w:pPr>
      <w:spacing w:after="120"/>
      <w:ind w:left="420" w:leftChars="200"/>
    </w:pPr>
  </w:style>
  <w:style w:type="paragraph" w:customStyle="1" w:styleId="18">
    <w:name w:val="BodyText1I"/>
    <w:basedOn w:val="19"/>
    <w:qFormat/>
    <w:uiPriority w:val="99"/>
    <w:pPr>
      <w:spacing w:after="0"/>
      <w:ind w:firstLine="200" w:firstLineChars="200"/>
    </w:pPr>
    <w:rPr>
      <w:kern w:val="0"/>
      <w:sz w:val="24"/>
    </w:rPr>
  </w:style>
  <w:style w:type="paragraph" w:customStyle="1" w:styleId="19">
    <w:name w:val="BodyText"/>
    <w:basedOn w:val="1"/>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3635</Words>
  <Characters>3876</Characters>
  <Lines>0</Lines>
  <Paragraphs>0</Paragraphs>
  <TotalTime>0</TotalTime>
  <ScaleCrop>false</ScaleCrop>
  <LinksUpToDate>false</LinksUpToDate>
  <CharactersWithSpaces>3881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2023-12-19T07:19:00Z</dcterms:created>
  <dc:creator>范延英</dc:creator>
  <cp:lastModifiedBy>陈健</cp:lastModifiedBy>
  <dcterms:modified xsi:type="dcterms:W3CDTF">2025-02-11T01:21:31Z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DD81FC2312F947D9930E7DE4127F0BC5</vt:lpwstr>
  </property>
  <property fmtid="{D5CDD505-2E9C-101B-9397-08002B2CF9AE}" pid="4" name="KSOTemplateDocerSaveRecord">
    <vt:lpwstr>eyJoZGlkIjoiNTE3NDYxMmZiMmU3ODQ4OWE5ODVkMTU2MTBiMTQwNTQiLCJ1c2VySWQiOiI0ODAxMjE4NjYifQ==</vt:lpwstr>
  </property>
</Properties>
</file>